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AFA6A" w14:textId="3AC6569E" w:rsidR="00245F36" w:rsidRDefault="00207FEB" w:rsidP="00713685">
      <w:pPr>
        <w:spacing w:after="0" w:line="240" w:lineRule="auto"/>
        <w:jc w:val="center"/>
        <w:outlineLvl w:val="0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Measur</w:t>
      </w:r>
      <w:r w:rsidR="00564ED2">
        <w:rPr>
          <w:rFonts w:ascii="Times" w:hAnsi="Times"/>
          <w:b/>
          <w:sz w:val="24"/>
        </w:rPr>
        <w:t>ing Your College’</w:t>
      </w:r>
      <w:r w:rsidR="004757EB">
        <w:rPr>
          <w:rFonts w:ascii="Times" w:hAnsi="Times"/>
          <w:b/>
          <w:sz w:val="24"/>
        </w:rPr>
        <w:t>s Effectiveness Serving</w:t>
      </w:r>
      <w:r w:rsidR="00564ED2">
        <w:rPr>
          <w:rFonts w:ascii="Times" w:hAnsi="Times"/>
          <w:b/>
          <w:sz w:val="24"/>
        </w:rPr>
        <w:t xml:space="preserve"> Transfer Students</w:t>
      </w:r>
    </w:p>
    <w:p w14:paraId="426E5F19" w14:textId="0D9FC2C8" w:rsidR="00E64D6B" w:rsidRDefault="0030624B" w:rsidP="00713685">
      <w:pPr>
        <w:spacing w:after="0" w:line="240" w:lineRule="auto"/>
        <w:jc w:val="center"/>
        <w:outlineLv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Texas Success Center, </w:t>
      </w:r>
      <w:r w:rsidR="00E64D6B">
        <w:rPr>
          <w:rFonts w:ascii="Times" w:hAnsi="Times"/>
          <w:sz w:val="24"/>
        </w:rPr>
        <w:t xml:space="preserve">Aspen Institute, Community College Research Center, </w:t>
      </w:r>
      <w:r w:rsidR="00564ED2">
        <w:rPr>
          <w:rFonts w:ascii="Times" w:hAnsi="Times"/>
          <w:sz w:val="24"/>
        </w:rPr>
        <w:t>and</w:t>
      </w:r>
      <w:r w:rsidR="00E64D6B">
        <w:rPr>
          <w:rFonts w:ascii="Times" w:hAnsi="Times"/>
          <w:sz w:val="24"/>
        </w:rPr>
        <w:t xml:space="preserve"> Public Agenda</w:t>
      </w:r>
    </w:p>
    <w:p w14:paraId="3B88D8E3" w14:textId="77777777" w:rsidR="00FB37ED" w:rsidRPr="00F03863" w:rsidRDefault="00FB37ED" w:rsidP="00FB37ED">
      <w:pPr>
        <w:spacing w:after="0" w:line="240" w:lineRule="auto"/>
        <w:jc w:val="center"/>
        <w:rPr>
          <w:rFonts w:ascii="Times" w:hAnsi="Times"/>
        </w:rPr>
      </w:pPr>
    </w:p>
    <w:p w14:paraId="024AD952" w14:textId="75C18B79" w:rsidR="00045CCA" w:rsidRPr="009F1AE9" w:rsidRDefault="00207FEB" w:rsidP="00E64D6B">
      <w:pPr>
        <w:spacing w:after="0" w:line="240" w:lineRule="auto"/>
        <w:rPr>
          <w:rFonts w:ascii="Times" w:hAnsi="Times"/>
        </w:rPr>
      </w:pPr>
      <w:r w:rsidRPr="009F1AE9">
        <w:rPr>
          <w:rFonts w:ascii="Times" w:hAnsi="Times"/>
        </w:rPr>
        <w:t>The tables and definitions below detail a basic set of me</w:t>
      </w:r>
      <w:r w:rsidR="00564ED2" w:rsidRPr="009F1AE9">
        <w:rPr>
          <w:rFonts w:ascii="Times" w:hAnsi="Times"/>
        </w:rPr>
        <w:t>trics</w:t>
      </w:r>
      <w:r w:rsidRPr="009F1AE9">
        <w:rPr>
          <w:rFonts w:ascii="Times" w:hAnsi="Times"/>
        </w:rPr>
        <w:t xml:space="preserve"> </w:t>
      </w:r>
      <w:r w:rsidR="00564ED2" w:rsidRPr="009F1AE9">
        <w:rPr>
          <w:rFonts w:ascii="Times" w:hAnsi="Times"/>
        </w:rPr>
        <w:t>yo</w:t>
      </w:r>
      <w:r w:rsidR="0030624B" w:rsidRPr="009F1AE9">
        <w:rPr>
          <w:rFonts w:ascii="Times" w:hAnsi="Times"/>
        </w:rPr>
        <w:t>ur college can compute using T</w:t>
      </w:r>
      <w:r w:rsidR="00381FC0">
        <w:rPr>
          <w:rFonts w:ascii="Times" w:hAnsi="Times"/>
        </w:rPr>
        <w:t xml:space="preserve">exas </w:t>
      </w:r>
      <w:r w:rsidR="0030624B" w:rsidRPr="009F1AE9">
        <w:rPr>
          <w:rFonts w:ascii="Times" w:hAnsi="Times"/>
        </w:rPr>
        <w:t>H</w:t>
      </w:r>
      <w:r w:rsidR="00381FC0">
        <w:rPr>
          <w:rFonts w:ascii="Times" w:hAnsi="Times"/>
        </w:rPr>
        <w:t xml:space="preserve">igher </w:t>
      </w:r>
      <w:r w:rsidR="0030624B" w:rsidRPr="009F1AE9">
        <w:rPr>
          <w:rFonts w:ascii="Times" w:hAnsi="Times"/>
        </w:rPr>
        <w:t>E</w:t>
      </w:r>
      <w:r w:rsidR="00381FC0">
        <w:rPr>
          <w:rFonts w:ascii="Times" w:hAnsi="Times"/>
        </w:rPr>
        <w:t xml:space="preserve">ducation </w:t>
      </w:r>
      <w:r w:rsidR="0030624B" w:rsidRPr="009F1AE9">
        <w:rPr>
          <w:rFonts w:ascii="Times" w:hAnsi="Times"/>
        </w:rPr>
        <w:t>C</w:t>
      </w:r>
      <w:r w:rsidR="00381FC0">
        <w:rPr>
          <w:rFonts w:ascii="Times" w:hAnsi="Times"/>
        </w:rPr>
        <w:t xml:space="preserve">oordinating </w:t>
      </w:r>
      <w:r w:rsidR="0030624B" w:rsidRPr="009F1AE9">
        <w:rPr>
          <w:rFonts w:ascii="Times" w:hAnsi="Times"/>
        </w:rPr>
        <w:t>B</w:t>
      </w:r>
      <w:r w:rsidR="00381FC0">
        <w:rPr>
          <w:rFonts w:ascii="Times" w:hAnsi="Times"/>
        </w:rPr>
        <w:t>oard</w:t>
      </w:r>
      <w:r w:rsidR="00564ED2" w:rsidRPr="009F1AE9">
        <w:rPr>
          <w:rFonts w:ascii="Times" w:hAnsi="Times"/>
        </w:rPr>
        <w:t xml:space="preserve"> data to measure the outcomes of your students who seek to transfer to a four-year institution.</w:t>
      </w:r>
      <w:r w:rsidR="00435017" w:rsidRPr="009F1AE9">
        <w:rPr>
          <w:rFonts w:ascii="Times" w:hAnsi="Times"/>
        </w:rPr>
        <w:t xml:space="preserve"> </w:t>
      </w:r>
      <w:r w:rsidRPr="009F1AE9">
        <w:rPr>
          <w:rFonts w:ascii="Times" w:hAnsi="Times"/>
        </w:rPr>
        <w:t>Table 1 presents overall measures of your college’s transfer outcomes in comparison to nationa</w:t>
      </w:r>
      <w:r w:rsidR="00381FC0">
        <w:rPr>
          <w:rFonts w:ascii="Times" w:hAnsi="Times"/>
        </w:rPr>
        <w:t>l averages and top colleges.</w:t>
      </w:r>
      <w:r w:rsidRPr="009F1AE9">
        <w:rPr>
          <w:rFonts w:ascii="Times" w:hAnsi="Times"/>
        </w:rPr>
        <w:t xml:space="preserve"> Table 2 show</w:t>
      </w:r>
      <w:r w:rsidR="00E64D6B" w:rsidRPr="009F1AE9">
        <w:rPr>
          <w:rFonts w:ascii="Times" w:hAnsi="Times"/>
        </w:rPr>
        <w:t>s</w:t>
      </w:r>
      <w:r w:rsidRPr="009F1AE9">
        <w:rPr>
          <w:rFonts w:ascii="Times" w:hAnsi="Times"/>
        </w:rPr>
        <w:t xml:space="preserve"> how your transfer students fare at </w:t>
      </w:r>
      <w:r w:rsidR="007A3767" w:rsidRPr="009F1AE9">
        <w:rPr>
          <w:rFonts w:ascii="Times" w:hAnsi="Times"/>
        </w:rPr>
        <w:t xml:space="preserve">your college’s top five transfer destinations. </w:t>
      </w:r>
    </w:p>
    <w:p w14:paraId="4C61202D" w14:textId="77777777" w:rsidR="00A920E8" w:rsidRPr="00F03863" w:rsidRDefault="00A920E8" w:rsidP="00FB37ED">
      <w:pPr>
        <w:spacing w:after="0"/>
        <w:rPr>
          <w:rFonts w:ascii="Times" w:hAnsi="Times"/>
        </w:rPr>
      </w:pPr>
    </w:p>
    <w:p w14:paraId="15ED2467" w14:textId="06EE4F78" w:rsidR="00D91659" w:rsidRPr="00E64D6B" w:rsidRDefault="00E64D6B" w:rsidP="00713685">
      <w:pPr>
        <w:spacing w:after="0"/>
        <w:outlineLvl w:val="0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 xml:space="preserve">Table 1. </w:t>
      </w:r>
      <w:r w:rsidR="00D91659" w:rsidRPr="00435017">
        <w:rPr>
          <w:rFonts w:ascii="Times" w:hAnsi="Times"/>
          <w:i/>
          <w:sz w:val="24"/>
        </w:rPr>
        <w:t xml:space="preserve">Tracking Transfer </w:t>
      </w:r>
      <w:r w:rsidR="00D91659" w:rsidRPr="00E64D6B">
        <w:rPr>
          <w:rFonts w:ascii="Times" w:hAnsi="Times"/>
          <w:sz w:val="24"/>
        </w:rPr>
        <w:t>Measures</w:t>
      </w:r>
    </w:p>
    <w:tbl>
      <w:tblPr>
        <w:tblStyle w:val="TableGrid"/>
        <w:tblW w:w="10188" w:type="dxa"/>
        <w:tblInd w:w="-72" w:type="dxa"/>
        <w:tblLook w:val="04A0" w:firstRow="1" w:lastRow="0" w:firstColumn="1" w:lastColumn="0" w:noHBand="0" w:noVBand="1"/>
      </w:tblPr>
      <w:tblGrid>
        <w:gridCol w:w="2156"/>
        <w:gridCol w:w="1450"/>
        <w:gridCol w:w="1524"/>
        <w:gridCol w:w="2523"/>
        <w:gridCol w:w="2535"/>
      </w:tblGrid>
      <w:tr w:rsidR="0030624B" w:rsidRPr="00437D2A" w14:paraId="5D379591" w14:textId="77777777" w:rsidTr="0030624B">
        <w:trPr>
          <w:trHeight w:val="323"/>
        </w:trPr>
        <w:tc>
          <w:tcPr>
            <w:tcW w:w="2156" w:type="dxa"/>
          </w:tcPr>
          <w:p w14:paraId="18256B49" w14:textId="77777777" w:rsidR="0030624B" w:rsidRPr="00437D2A" w:rsidRDefault="0030624B" w:rsidP="008B3D6D">
            <w:pPr>
              <w:rPr>
                <w:rFonts w:ascii="Times" w:hAnsi="Times"/>
                <w:b/>
              </w:rPr>
            </w:pPr>
          </w:p>
        </w:tc>
        <w:tc>
          <w:tcPr>
            <w:tcW w:w="1450" w:type="dxa"/>
            <w:vAlign w:val="bottom"/>
          </w:tcPr>
          <w:p w14:paraId="6E919BCB" w14:textId="4C004090" w:rsidR="0030624B" w:rsidRPr="00437D2A" w:rsidRDefault="0030624B" w:rsidP="00437D2A">
            <w:pPr>
              <w:jc w:val="center"/>
              <w:rPr>
                <w:rFonts w:ascii="Times" w:hAnsi="Times"/>
                <w:b/>
                <w:vertAlign w:val="superscript"/>
              </w:rPr>
            </w:pPr>
            <w:r w:rsidRPr="00437D2A">
              <w:rPr>
                <w:rFonts w:ascii="Times" w:hAnsi="Times"/>
              </w:rPr>
              <w:t>Transfer-out Rate</w:t>
            </w:r>
            <w:r w:rsidRPr="00437D2A">
              <w:rPr>
                <w:rFonts w:ascii="Times" w:hAnsi="Times"/>
                <w:vertAlign w:val="superscript"/>
              </w:rPr>
              <w:t>1</w:t>
            </w:r>
          </w:p>
        </w:tc>
        <w:tc>
          <w:tcPr>
            <w:tcW w:w="1524" w:type="dxa"/>
          </w:tcPr>
          <w:p w14:paraId="522085CC" w14:textId="260316D3" w:rsidR="0030624B" w:rsidRPr="00437D2A" w:rsidRDefault="0030624B" w:rsidP="005459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Transfer Core Complete</w:t>
            </w:r>
            <w:r w:rsidR="00545921">
              <w:rPr>
                <w:rFonts w:ascii="Times" w:hAnsi="Time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23" w:type="dxa"/>
            <w:vAlign w:val="bottom"/>
          </w:tcPr>
          <w:p w14:paraId="6312B780" w14:textId="72A3723B" w:rsidR="0030624B" w:rsidRPr="00437D2A" w:rsidRDefault="0030624B" w:rsidP="00437D2A">
            <w:pPr>
              <w:jc w:val="center"/>
              <w:rPr>
                <w:rFonts w:ascii="Times" w:hAnsi="Times"/>
                <w:b/>
                <w:vertAlign w:val="superscript"/>
              </w:rPr>
            </w:pPr>
            <w:r>
              <w:rPr>
                <w:rFonts w:ascii="Times" w:hAnsi="Times"/>
              </w:rPr>
              <w:t>Transfer w</w:t>
            </w:r>
            <w:r w:rsidRPr="00437D2A">
              <w:rPr>
                <w:rFonts w:ascii="Times" w:hAnsi="Times"/>
              </w:rPr>
              <w:t>ith Award Rate</w:t>
            </w:r>
            <w:r>
              <w:rPr>
                <w:rFonts w:ascii="Times" w:hAnsi="Times"/>
                <w:vertAlign w:val="superscript"/>
              </w:rPr>
              <w:t>3</w:t>
            </w:r>
          </w:p>
        </w:tc>
        <w:tc>
          <w:tcPr>
            <w:tcW w:w="2535" w:type="dxa"/>
            <w:vAlign w:val="bottom"/>
          </w:tcPr>
          <w:p w14:paraId="601693F9" w14:textId="6BA51A26" w:rsidR="0030624B" w:rsidRPr="00437D2A" w:rsidRDefault="0030624B" w:rsidP="00437D2A">
            <w:pPr>
              <w:jc w:val="center"/>
              <w:rPr>
                <w:rFonts w:ascii="Times" w:hAnsi="Times"/>
                <w:b/>
                <w:vertAlign w:val="superscript"/>
              </w:rPr>
            </w:pPr>
            <w:r w:rsidRPr="00437D2A">
              <w:rPr>
                <w:rFonts w:ascii="Times" w:hAnsi="Times"/>
              </w:rPr>
              <w:t>Transfer-out Bachelor’s Completion Rate</w:t>
            </w:r>
            <w:r>
              <w:rPr>
                <w:rFonts w:ascii="Times" w:hAnsi="Times"/>
                <w:vertAlign w:val="superscript"/>
              </w:rPr>
              <w:t>4</w:t>
            </w:r>
          </w:p>
        </w:tc>
      </w:tr>
      <w:tr w:rsidR="0030624B" w:rsidRPr="00437D2A" w14:paraId="24F10DE7" w14:textId="77777777" w:rsidTr="0030624B">
        <w:trPr>
          <w:trHeight w:val="328"/>
        </w:trPr>
        <w:tc>
          <w:tcPr>
            <w:tcW w:w="2156" w:type="dxa"/>
            <w:vAlign w:val="center"/>
          </w:tcPr>
          <w:p w14:paraId="3871BAE9" w14:textId="2096FA89" w:rsidR="0030624B" w:rsidRPr="00437D2A" w:rsidRDefault="0030624B" w:rsidP="00437D2A">
            <w:pPr>
              <w:rPr>
                <w:rFonts w:ascii="Times" w:hAnsi="Times"/>
              </w:rPr>
            </w:pPr>
            <w:r w:rsidRPr="00437D2A">
              <w:rPr>
                <w:rFonts w:ascii="Times" w:hAnsi="Times"/>
              </w:rPr>
              <w:t>National Average</w:t>
            </w:r>
            <w:r w:rsidR="00D92E08" w:rsidRPr="009E297C">
              <w:rPr>
                <w:rFonts w:ascii="Times" w:hAnsi="Times"/>
                <w:sz w:val="16"/>
                <w:szCs w:val="16"/>
              </w:rPr>
              <w:t>*</w:t>
            </w:r>
          </w:p>
        </w:tc>
        <w:tc>
          <w:tcPr>
            <w:tcW w:w="1450" w:type="dxa"/>
            <w:vAlign w:val="center"/>
          </w:tcPr>
          <w:p w14:paraId="7E1C514F" w14:textId="5230F04F" w:rsidR="0030624B" w:rsidRPr="00A51B2E" w:rsidRDefault="0030624B" w:rsidP="00190779">
            <w:pPr>
              <w:jc w:val="center"/>
              <w:rPr>
                <w:rFonts w:ascii="Times" w:hAnsi="Times"/>
              </w:rPr>
            </w:pPr>
            <w:r w:rsidRPr="00A51B2E">
              <w:rPr>
                <w:rFonts w:ascii="Times" w:hAnsi="Times"/>
              </w:rPr>
              <w:t>33%</w:t>
            </w:r>
          </w:p>
        </w:tc>
        <w:tc>
          <w:tcPr>
            <w:tcW w:w="1524" w:type="dxa"/>
          </w:tcPr>
          <w:p w14:paraId="247E68DB" w14:textId="79AE47FF" w:rsidR="0030624B" w:rsidRPr="00A51B2E" w:rsidRDefault="0030624B" w:rsidP="00190779">
            <w:pPr>
              <w:jc w:val="center"/>
              <w:rPr>
                <w:rFonts w:ascii="Times" w:hAnsi="Times"/>
              </w:rPr>
            </w:pPr>
            <w:r w:rsidRPr="00A51B2E">
              <w:rPr>
                <w:rFonts w:ascii="Times" w:hAnsi="Times"/>
              </w:rPr>
              <w:t>N/A</w:t>
            </w:r>
          </w:p>
        </w:tc>
        <w:tc>
          <w:tcPr>
            <w:tcW w:w="2523" w:type="dxa"/>
            <w:vAlign w:val="center"/>
          </w:tcPr>
          <w:p w14:paraId="1F684DA5" w14:textId="44B9BC6D" w:rsidR="0030624B" w:rsidRPr="00A51B2E" w:rsidRDefault="0030624B" w:rsidP="00190779">
            <w:pPr>
              <w:jc w:val="center"/>
              <w:rPr>
                <w:rFonts w:ascii="Times" w:hAnsi="Times"/>
              </w:rPr>
            </w:pPr>
            <w:r w:rsidRPr="00A51B2E">
              <w:rPr>
                <w:rFonts w:ascii="Times" w:hAnsi="Times"/>
              </w:rPr>
              <w:t>29%</w:t>
            </w:r>
          </w:p>
        </w:tc>
        <w:tc>
          <w:tcPr>
            <w:tcW w:w="2535" w:type="dxa"/>
            <w:vAlign w:val="center"/>
          </w:tcPr>
          <w:p w14:paraId="7F7775D9" w14:textId="58A1CB1D" w:rsidR="0030624B" w:rsidRPr="00A51B2E" w:rsidRDefault="0030624B" w:rsidP="00190779">
            <w:pPr>
              <w:jc w:val="center"/>
              <w:rPr>
                <w:rFonts w:ascii="Times" w:hAnsi="Times"/>
              </w:rPr>
            </w:pPr>
            <w:r w:rsidRPr="00A51B2E">
              <w:rPr>
                <w:rFonts w:ascii="Times" w:hAnsi="Times"/>
              </w:rPr>
              <w:t>42%</w:t>
            </w:r>
          </w:p>
        </w:tc>
      </w:tr>
      <w:tr w:rsidR="0030624B" w:rsidRPr="00437D2A" w14:paraId="25FC9884" w14:textId="77777777" w:rsidTr="0030624B">
        <w:trPr>
          <w:trHeight w:val="309"/>
        </w:trPr>
        <w:tc>
          <w:tcPr>
            <w:tcW w:w="2156" w:type="dxa"/>
            <w:vAlign w:val="center"/>
          </w:tcPr>
          <w:p w14:paraId="4EAF2B5D" w14:textId="5B162B37" w:rsidR="0030624B" w:rsidRPr="00437D2A" w:rsidRDefault="0030624B" w:rsidP="00437D2A">
            <w:pPr>
              <w:rPr>
                <w:rFonts w:ascii="Times" w:hAnsi="Times"/>
              </w:rPr>
            </w:pPr>
            <w:r w:rsidRPr="00437D2A">
              <w:rPr>
                <w:rFonts w:ascii="Times" w:hAnsi="Times"/>
              </w:rPr>
              <w:t>Top Urban CC Nationally</w:t>
            </w:r>
            <w:r w:rsidR="00D92E08" w:rsidRPr="009E297C">
              <w:rPr>
                <w:rFonts w:ascii="Times" w:hAnsi="Times"/>
                <w:sz w:val="16"/>
                <w:szCs w:val="16"/>
              </w:rPr>
              <w:t>*</w:t>
            </w:r>
          </w:p>
        </w:tc>
        <w:tc>
          <w:tcPr>
            <w:tcW w:w="1450" w:type="dxa"/>
            <w:vAlign w:val="center"/>
          </w:tcPr>
          <w:p w14:paraId="311F5D76" w14:textId="5659FDDE" w:rsidR="0030624B" w:rsidRPr="00A51B2E" w:rsidRDefault="0030624B" w:rsidP="00190779">
            <w:pPr>
              <w:jc w:val="center"/>
              <w:rPr>
                <w:rFonts w:ascii="Times" w:hAnsi="Times"/>
              </w:rPr>
            </w:pPr>
            <w:r w:rsidRPr="00A51B2E">
              <w:rPr>
                <w:rFonts w:ascii="Times" w:hAnsi="Times"/>
              </w:rPr>
              <w:t>77%</w:t>
            </w:r>
          </w:p>
        </w:tc>
        <w:tc>
          <w:tcPr>
            <w:tcW w:w="1524" w:type="dxa"/>
          </w:tcPr>
          <w:p w14:paraId="529E92ED" w14:textId="2E0D0477" w:rsidR="0030624B" w:rsidRPr="00A51B2E" w:rsidRDefault="0030624B" w:rsidP="00190779">
            <w:pPr>
              <w:jc w:val="center"/>
              <w:rPr>
                <w:rFonts w:ascii="Times" w:hAnsi="Times"/>
              </w:rPr>
            </w:pPr>
            <w:r w:rsidRPr="00A51B2E">
              <w:rPr>
                <w:rFonts w:ascii="Times" w:hAnsi="Times"/>
              </w:rPr>
              <w:t>N/A</w:t>
            </w:r>
          </w:p>
        </w:tc>
        <w:tc>
          <w:tcPr>
            <w:tcW w:w="2523" w:type="dxa"/>
            <w:vAlign w:val="center"/>
          </w:tcPr>
          <w:p w14:paraId="1B514712" w14:textId="2089696F" w:rsidR="0030624B" w:rsidRPr="00A51B2E" w:rsidRDefault="0030624B" w:rsidP="00190779">
            <w:pPr>
              <w:jc w:val="center"/>
              <w:rPr>
                <w:rFonts w:ascii="Times" w:hAnsi="Times"/>
              </w:rPr>
            </w:pPr>
            <w:r w:rsidRPr="00A51B2E">
              <w:rPr>
                <w:rFonts w:ascii="Times" w:hAnsi="Times"/>
              </w:rPr>
              <w:t>61%</w:t>
            </w:r>
          </w:p>
        </w:tc>
        <w:tc>
          <w:tcPr>
            <w:tcW w:w="2535" w:type="dxa"/>
            <w:vAlign w:val="center"/>
          </w:tcPr>
          <w:p w14:paraId="182030CB" w14:textId="21415B12" w:rsidR="0030624B" w:rsidRPr="00A51B2E" w:rsidRDefault="0030624B" w:rsidP="00190779">
            <w:pPr>
              <w:jc w:val="center"/>
              <w:rPr>
                <w:rFonts w:ascii="Times" w:hAnsi="Times"/>
              </w:rPr>
            </w:pPr>
            <w:r w:rsidRPr="00A51B2E">
              <w:rPr>
                <w:rFonts w:ascii="Times" w:hAnsi="Times"/>
              </w:rPr>
              <w:t>64%</w:t>
            </w:r>
          </w:p>
        </w:tc>
      </w:tr>
      <w:tr w:rsidR="0030624B" w:rsidRPr="00437D2A" w14:paraId="64A0DCAC" w14:textId="77777777" w:rsidTr="0030624B">
        <w:trPr>
          <w:trHeight w:val="328"/>
        </w:trPr>
        <w:tc>
          <w:tcPr>
            <w:tcW w:w="2156" w:type="dxa"/>
            <w:vAlign w:val="center"/>
          </w:tcPr>
          <w:p w14:paraId="6673BF57" w14:textId="7C84C7D3" w:rsidR="0030624B" w:rsidRPr="00437D2A" w:rsidRDefault="0030624B" w:rsidP="00437D2A">
            <w:pPr>
              <w:rPr>
                <w:rFonts w:ascii="Times" w:hAnsi="Times"/>
              </w:rPr>
            </w:pPr>
            <w:r w:rsidRPr="00437D2A">
              <w:rPr>
                <w:rFonts w:ascii="Times" w:hAnsi="Times"/>
              </w:rPr>
              <w:t>Top Rural CC Nationally</w:t>
            </w:r>
            <w:r w:rsidR="00D92E08" w:rsidRPr="00D92E08">
              <w:rPr>
                <w:rFonts w:ascii="Times" w:hAnsi="Times"/>
                <w:sz w:val="16"/>
                <w:szCs w:val="16"/>
              </w:rPr>
              <w:t>*</w:t>
            </w:r>
          </w:p>
        </w:tc>
        <w:tc>
          <w:tcPr>
            <w:tcW w:w="1450" w:type="dxa"/>
            <w:vAlign w:val="center"/>
          </w:tcPr>
          <w:p w14:paraId="01806013" w14:textId="40D8C067" w:rsidR="0030624B" w:rsidRPr="00A51B2E" w:rsidRDefault="0030624B" w:rsidP="00190779">
            <w:pPr>
              <w:jc w:val="center"/>
              <w:rPr>
                <w:rFonts w:ascii="Times" w:hAnsi="Times"/>
              </w:rPr>
            </w:pPr>
            <w:r w:rsidRPr="00A51B2E">
              <w:rPr>
                <w:rFonts w:ascii="Times" w:hAnsi="Times"/>
              </w:rPr>
              <w:t>64%</w:t>
            </w:r>
          </w:p>
        </w:tc>
        <w:tc>
          <w:tcPr>
            <w:tcW w:w="1524" w:type="dxa"/>
          </w:tcPr>
          <w:p w14:paraId="097081A1" w14:textId="44710267" w:rsidR="0030624B" w:rsidRPr="00A51B2E" w:rsidRDefault="0030624B" w:rsidP="00190779">
            <w:pPr>
              <w:jc w:val="center"/>
              <w:rPr>
                <w:rFonts w:ascii="Times" w:hAnsi="Times"/>
              </w:rPr>
            </w:pPr>
            <w:r w:rsidRPr="00A51B2E">
              <w:rPr>
                <w:rFonts w:ascii="Times" w:hAnsi="Times"/>
              </w:rPr>
              <w:t>N/A</w:t>
            </w:r>
          </w:p>
        </w:tc>
        <w:tc>
          <w:tcPr>
            <w:tcW w:w="2523" w:type="dxa"/>
            <w:vAlign w:val="center"/>
          </w:tcPr>
          <w:p w14:paraId="34F268DC" w14:textId="28777281" w:rsidR="0030624B" w:rsidRPr="00A51B2E" w:rsidRDefault="0030624B" w:rsidP="00190779">
            <w:pPr>
              <w:jc w:val="center"/>
              <w:rPr>
                <w:rFonts w:ascii="Times" w:hAnsi="Times"/>
              </w:rPr>
            </w:pPr>
            <w:r w:rsidRPr="00A51B2E">
              <w:rPr>
                <w:rFonts w:ascii="Times" w:hAnsi="Times"/>
              </w:rPr>
              <w:t>69%</w:t>
            </w:r>
          </w:p>
        </w:tc>
        <w:tc>
          <w:tcPr>
            <w:tcW w:w="2535" w:type="dxa"/>
            <w:vAlign w:val="center"/>
          </w:tcPr>
          <w:p w14:paraId="52AD7CFD" w14:textId="634F8B7E" w:rsidR="0030624B" w:rsidRPr="00A51B2E" w:rsidRDefault="0030624B" w:rsidP="00190779">
            <w:pPr>
              <w:jc w:val="center"/>
              <w:rPr>
                <w:rFonts w:ascii="Times" w:hAnsi="Times"/>
              </w:rPr>
            </w:pPr>
            <w:r w:rsidRPr="00A51B2E">
              <w:rPr>
                <w:rFonts w:ascii="Times" w:hAnsi="Times"/>
              </w:rPr>
              <w:t>66%</w:t>
            </w:r>
          </w:p>
        </w:tc>
      </w:tr>
      <w:tr w:rsidR="00732126" w:rsidRPr="00437D2A" w14:paraId="2EFB43E6" w14:textId="77777777" w:rsidTr="00875724">
        <w:trPr>
          <w:trHeight w:val="328"/>
        </w:trPr>
        <w:tc>
          <w:tcPr>
            <w:tcW w:w="2156" w:type="dxa"/>
            <w:vAlign w:val="center"/>
          </w:tcPr>
          <w:p w14:paraId="57A0C452" w14:textId="1D0BBEF6" w:rsidR="00732126" w:rsidRPr="00437D2A" w:rsidRDefault="00D13167" w:rsidP="00D1316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Texas Community </w:t>
            </w:r>
            <w:r w:rsidR="00875724">
              <w:rPr>
                <w:rFonts w:ascii="Times" w:hAnsi="Times"/>
              </w:rPr>
              <w:t>Colleges</w:t>
            </w:r>
          </w:p>
        </w:tc>
        <w:tc>
          <w:tcPr>
            <w:tcW w:w="1450" w:type="dxa"/>
            <w:vAlign w:val="center"/>
          </w:tcPr>
          <w:p w14:paraId="4D986EEE" w14:textId="0AD347DE" w:rsidR="00732126" w:rsidRPr="00A51B2E" w:rsidRDefault="00875724" w:rsidP="00190779">
            <w:pPr>
              <w:jc w:val="center"/>
              <w:rPr>
                <w:rFonts w:ascii="Times" w:hAnsi="Times"/>
              </w:rPr>
            </w:pPr>
            <w:r w:rsidRPr="00A51B2E">
              <w:rPr>
                <w:rFonts w:ascii="Times" w:hAnsi="Times"/>
              </w:rPr>
              <w:t>22%</w:t>
            </w:r>
          </w:p>
        </w:tc>
        <w:tc>
          <w:tcPr>
            <w:tcW w:w="1524" w:type="dxa"/>
            <w:vAlign w:val="center"/>
          </w:tcPr>
          <w:p w14:paraId="6BE484F0" w14:textId="4580F40C" w:rsidR="00732126" w:rsidRPr="00A51B2E" w:rsidRDefault="00875724" w:rsidP="00875724">
            <w:pPr>
              <w:jc w:val="center"/>
              <w:rPr>
                <w:rFonts w:ascii="Times" w:hAnsi="Times"/>
              </w:rPr>
            </w:pPr>
            <w:r w:rsidRPr="00A51B2E">
              <w:rPr>
                <w:rFonts w:ascii="Times" w:hAnsi="Times"/>
              </w:rPr>
              <w:t>39%</w:t>
            </w:r>
          </w:p>
        </w:tc>
        <w:tc>
          <w:tcPr>
            <w:tcW w:w="2523" w:type="dxa"/>
            <w:vAlign w:val="center"/>
          </w:tcPr>
          <w:p w14:paraId="38CCDB48" w14:textId="7F1F57AF" w:rsidR="00732126" w:rsidRPr="00A51B2E" w:rsidRDefault="00875724" w:rsidP="00875724">
            <w:pPr>
              <w:jc w:val="center"/>
              <w:rPr>
                <w:rFonts w:ascii="Times" w:hAnsi="Times"/>
              </w:rPr>
            </w:pPr>
            <w:r w:rsidRPr="00A51B2E">
              <w:rPr>
                <w:rFonts w:ascii="Times" w:hAnsi="Times"/>
              </w:rPr>
              <w:t>44%</w:t>
            </w:r>
          </w:p>
        </w:tc>
        <w:tc>
          <w:tcPr>
            <w:tcW w:w="2535" w:type="dxa"/>
            <w:vAlign w:val="center"/>
          </w:tcPr>
          <w:p w14:paraId="260528CF" w14:textId="7AB6F8C9" w:rsidR="00732126" w:rsidRPr="00A51B2E" w:rsidRDefault="00D13167" w:rsidP="00875724">
            <w:pPr>
              <w:jc w:val="center"/>
              <w:rPr>
                <w:rFonts w:ascii="Times" w:hAnsi="Times"/>
              </w:rPr>
            </w:pPr>
            <w:r w:rsidRPr="00A51B2E">
              <w:rPr>
                <w:rFonts w:ascii="Times" w:hAnsi="Times"/>
              </w:rPr>
              <w:t>13%</w:t>
            </w:r>
          </w:p>
        </w:tc>
      </w:tr>
      <w:tr w:rsidR="0030624B" w:rsidRPr="00437D2A" w14:paraId="58E4F381" w14:textId="77777777" w:rsidTr="005E63CE">
        <w:trPr>
          <w:trHeight w:val="328"/>
        </w:trPr>
        <w:tc>
          <w:tcPr>
            <w:tcW w:w="2156" w:type="dxa"/>
            <w:shd w:val="clear" w:color="auto" w:fill="FFFF00"/>
            <w:vAlign w:val="center"/>
          </w:tcPr>
          <w:p w14:paraId="20B44FC6" w14:textId="77777777" w:rsidR="00872693" w:rsidRDefault="00872693" w:rsidP="0087269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Your Institution:</w:t>
            </w:r>
          </w:p>
          <w:p w14:paraId="0A3EA414" w14:textId="40651F5E" w:rsidR="0030624B" w:rsidRPr="00437D2A" w:rsidRDefault="00872693" w:rsidP="0087269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bookmarkStart w:id="1" w:name="_GoBack"/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bookmarkEnd w:id="1"/>
            <w:r>
              <w:rPr>
                <w:rFonts w:ascii="Times" w:hAnsi="Times"/>
              </w:rPr>
              <w:fldChar w:fldCharType="end"/>
            </w:r>
            <w:bookmarkEnd w:id="0"/>
          </w:p>
        </w:tc>
        <w:tc>
          <w:tcPr>
            <w:tcW w:w="1450" w:type="dxa"/>
            <w:shd w:val="clear" w:color="auto" w:fill="FFFF00"/>
            <w:vAlign w:val="center"/>
          </w:tcPr>
          <w:p w14:paraId="202954D5" w14:textId="46CD768C" w:rsidR="0030624B" w:rsidRPr="00A51B2E" w:rsidRDefault="00872693" w:rsidP="0019077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"/>
            <w:r w:rsidR="0030624B" w:rsidRPr="00A51B2E">
              <w:rPr>
                <w:rFonts w:ascii="Times" w:hAnsi="Times"/>
              </w:rPr>
              <w:t>%</w:t>
            </w:r>
          </w:p>
        </w:tc>
        <w:tc>
          <w:tcPr>
            <w:tcW w:w="1524" w:type="dxa"/>
            <w:shd w:val="clear" w:color="auto" w:fill="FFFF00"/>
            <w:vAlign w:val="center"/>
          </w:tcPr>
          <w:p w14:paraId="258DEFE1" w14:textId="70058D3C" w:rsidR="0030624B" w:rsidRPr="00A51B2E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3"/>
            <w:r w:rsidR="0030624B" w:rsidRPr="00A51B2E">
              <w:rPr>
                <w:rFonts w:ascii="Times" w:hAnsi="Times"/>
              </w:rPr>
              <w:t>%</w:t>
            </w:r>
          </w:p>
        </w:tc>
        <w:tc>
          <w:tcPr>
            <w:tcW w:w="2523" w:type="dxa"/>
            <w:shd w:val="clear" w:color="auto" w:fill="FFFF00"/>
            <w:vAlign w:val="center"/>
          </w:tcPr>
          <w:p w14:paraId="6CA82061" w14:textId="36FA26DE" w:rsidR="0030624B" w:rsidRPr="00A51B2E" w:rsidRDefault="00872693" w:rsidP="0019077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4"/>
            <w:r w:rsidR="0030624B" w:rsidRPr="00A51B2E">
              <w:rPr>
                <w:rFonts w:ascii="Times" w:hAnsi="Times"/>
              </w:rPr>
              <w:t>%</w:t>
            </w:r>
          </w:p>
        </w:tc>
        <w:tc>
          <w:tcPr>
            <w:tcW w:w="2535" w:type="dxa"/>
            <w:shd w:val="clear" w:color="auto" w:fill="FFFF00"/>
            <w:vAlign w:val="center"/>
          </w:tcPr>
          <w:p w14:paraId="08EF2180" w14:textId="40A9E7C6" w:rsidR="0030624B" w:rsidRPr="00A51B2E" w:rsidRDefault="00872693" w:rsidP="0019077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5"/>
            <w:r w:rsidR="0030624B" w:rsidRPr="00A51B2E">
              <w:rPr>
                <w:rFonts w:ascii="Times" w:hAnsi="Times"/>
              </w:rPr>
              <w:t>%</w:t>
            </w:r>
          </w:p>
        </w:tc>
      </w:tr>
    </w:tbl>
    <w:p w14:paraId="6D5DEF75" w14:textId="77777777" w:rsidR="00A920E8" w:rsidRPr="00F03863" w:rsidRDefault="00A920E8" w:rsidP="008B3D6D">
      <w:pPr>
        <w:spacing w:after="0" w:line="240" w:lineRule="auto"/>
        <w:rPr>
          <w:rFonts w:ascii="Times" w:hAnsi="Times"/>
          <w:sz w:val="12"/>
          <w:szCs w:val="12"/>
        </w:rPr>
      </w:pPr>
    </w:p>
    <w:p w14:paraId="47B84BAC" w14:textId="69EACDDC" w:rsidR="00A920E8" w:rsidRPr="009F1AE9" w:rsidRDefault="00A920E8" w:rsidP="00B90F2E">
      <w:pPr>
        <w:spacing w:after="240" w:line="240" w:lineRule="auto"/>
        <w:rPr>
          <w:rFonts w:ascii="Times" w:hAnsi="Times"/>
        </w:rPr>
      </w:pPr>
      <w:r w:rsidRPr="009F1AE9">
        <w:rPr>
          <w:rFonts w:ascii="Times" w:hAnsi="Times"/>
          <w:b/>
        </w:rPr>
        <w:t>Cohort &amp; tracking period:</w:t>
      </w:r>
      <w:r w:rsidRPr="009F1AE9">
        <w:rPr>
          <w:rFonts w:ascii="Times" w:hAnsi="Times"/>
        </w:rPr>
        <w:t xml:space="preserve"> Entering FT</w:t>
      </w:r>
      <w:r w:rsidR="00564ED2" w:rsidRPr="009F1AE9">
        <w:rPr>
          <w:rFonts w:ascii="Times" w:hAnsi="Times"/>
        </w:rPr>
        <w:t>E</w:t>
      </w:r>
      <w:r w:rsidRPr="009F1AE9">
        <w:rPr>
          <w:rFonts w:ascii="Times" w:hAnsi="Times"/>
        </w:rPr>
        <w:t xml:space="preserve">IC community college students in </w:t>
      </w:r>
      <w:r w:rsidR="008B3D6D" w:rsidRPr="009F1AE9">
        <w:rPr>
          <w:rFonts w:ascii="Times" w:hAnsi="Times"/>
        </w:rPr>
        <w:t>a</w:t>
      </w:r>
      <w:r w:rsidRPr="009F1AE9">
        <w:rPr>
          <w:rFonts w:ascii="Times" w:hAnsi="Times"/>
        </w:rPr>
        <w:t xml:space="preserve"> fall </w:t>
      </w:r>
      <w:r w:rsidR="008B3D6D" w:rsidRPr="009F1AE9">
        <w:rPr>
          <w:rFonts w:ascii="Times" w:hAnsi="Times"/>
        </w:rPr>
        <w:t>term</w:t>
      </w:r>
      <w:r w:rsidRPr="009F1AE9">
        <w:rPr>
          <w:rFonts w:ascii="Times" w:hAnsi="Times"/>
        </w:rPr>
        <w:t>, excluding</w:t>
      </w:r>
      <w:r w:rsidR="008B3D6D" w:rsidRPr="009F1AE9">
        <w:rPr>
          <w:rFonts w:ascii="Times" w:hAnsi="Times"/>
        </w:rPr>
        <w:t xml:space="preserve"> current</w:t>
      </w:r>
      <w:r w:rsidR="00564ED2" w:rsidRPr="009F1AE9">
        <w:rPr>
          <w:rFonts w:ascii="Times" w:hAnsi="Times"/>
        </w:rPr>
        <w:t xml:space="preserve"> and prior</w:t>
      </w:r>
      <w:r w:rsidR="008B3D6D" w:rsidRPr="009F1AE9">
        <w:rPr>
          <w:rFonts w:ascii="Times" w:hAnsi="Times"/>
        </w:rPr>
        <w:t xml:space="preserve"> high school</w:t>
      </w:r>
      <w:r w:rsidRPr="009F1AE9">
        <w:rPr>
          <w:rFonts w:ascii="Times" w:hAnsi="Times"/>
        </w:rPr>
        <w:t xml:space="preserve"> dual enrollment</w:t>
      </w:r>
      <w:r w:rsidR="008B3D6D" w:rsidRPr="009F1AE9">
        <w:rPr>
          <w:rFonts w:ascii="Times" w:hAnsi="Times"/>
        </w:rPr>
        <w:t xml:space="preserve"> students, tracked for six calendar years.</w:t>
      </w:r>
    </w:p>
    <w:p w14:paraId="68CF2226" w14:textId="6AA51D6E" w:rsidR="00A920E8" w:rsidRPr="009F1AE9" w:rsidRDefault="00A920E8" w:rsidP="00B90F2E">
      <w:pPr>
        <w:spacing w:after="240" w:line="240" w:lineRule="auto"/>
        <w:rPr>
          <w:rFonts w:ascii="Times" w:hAnsi="Times"/>
        </w:rPr>
      </w:pPr>
      <w:r w:rsidRPr="009F1AE9">
        <w:rPr>
          <w:rFonts w:ascii="Times" w:hAnsi="Times"/>
          <w:b/>
        </w:rPr>
        <w:t>Transfer definition</w:t>
      </w:r>
      <w:r w:rsidRPr="009F1AE9">
        <w:rPr>
          <w:rFonts w:ascii="Times" w:hAnsi="Times"/>
        </w:rPr>
        <w:t xml:space="preserve">: </w:t>
      </w:r>
      <w:r w:rsidR="0030624B" w:rsidRPr="009F1AE9">
        <w:rPr>
          <w:rFonts w:ascii="Times" w:hAnsi="Times"/>
        </w:rPr>
        <w:t>Students who entered coll</w:t>
      </w:r>
      <w:r w:rsidR="00B90F2E" w:rsidRPr="009F1AE9">
        <w:rPr>
          <w:rFonts w:ascii="Times" w:hAnsi="Times"/>
        </w:rPr>
        <w:t>ege for the first time at a two-</w:t>
      </w:r>
      <w:r w:rsidR="0030624B" w:rsidRPr="009F1AE9">
        <w:rPr>
          <w:rFonts w:ascii="Times" w:hAnsi="Times"/>
        </w:rPr>
        <w:t>year institution and are not concu</w:t>
      </w:r>
      <w:r w:rsidR="009F1AE9" w:rsidRPr="009F1AE9">
        <w:rPr>
          <w:rFonts w:ascii="Times" w:hAnsi="Times"/>
        </w:rPr>
        <w:t>rrently enrolled at a four-</w:t>
      </w:r>
      <w:r w:rsidR="0030624B" w:rsidRPr="009F1AE9">
        <w:rPr>
          <w:rFonts w:ascii="Times" w:hAnsi="Times"/>
        </w:rPr>
        <w:t>year institution, and then transferr</w:t>
      </w:r>
      <w:r w:rsidR="009F1AE9">
        <w:rPr>
          <w:rFonts w:ascii="Times" w:hAnsi="Times"/>
        </w:rPr>
        <w:t>ed for the first time to a four-</w:t>
      </w:r>
      <w:r w:rsidR="0030624B" w:rsidRPr="009F1AE9">
        <w:rPr>
          <w:rFonts w:ascii="Times" w:hAnsi="Times"/>
        </w:rPr>
        <w:t xml:space="preserve">year institution. </w:t>
      </w:r>
    </w:p>
    <w:p w14:paraId="56CD3775" w14:textId="19D579E5" w:rsidR="00B90F2E" w:rsidRPr="009F1AE9" w:rsidRDefault="00F03863" w:rsidP="00713685">
      <w:pPr>
        <w:spacing w:after="0" w:line="240" w:lineRule="auto"/>
        <w:outlineLvl w:val="0"/>
        <w:rPr>
          <w:rFonts w:ascii="Times" w:hAnsi="Times"/>
          <w:b/>
        </w:rPr>
      </w:pPr>
      <w:r w:rsidRPr="009F1AE9">
        <w:rPr>
          <w:rFonts w:ascii="Times" w:hAnsi="Times"/>
          <w:b/>
        </w:rPr>
        <w:t>Outcome Definitions</w:t>
      </w:r>
    </w:p>
    <w:p w14:paraId="19EC9125" w14:textId="719EBC74" w:rsidR="0030624B" w:rsidRPr="00741797" w:rsidRDefault="00446B4B" w:rsidP="00B90F2E">
      <w:pPr>
        <w:spacing w:after="240" w:line="240" w:lineRule="auto"/>
        <w:rPr>
          <w:rFonts w:ascii="Times" w:hAnsi="Times" w:cs="Times"/>
          <w:color w:val="000000"/>
        </w:rPr>
      </w:pPr>
      <w:r w:rsidRPr="009F1AE9">
        <w:rPr>
          <w:rFonts w:ascii="Times" w:hAnsi="Times"/>
          <w:vertAlign w:val="superscript"/>
        </w:rPr>
        <w:t>1</w:t>
      </w:r>
      <w:r w:rsidR="00B85EC3">
        <w:rPr>
          <w:rFonts w:ascii="Times" w:hAnsi="Times"/>
        </w:rPr>
        <w:t>Percent</w:t>
      </w:r>
      <w:r w:rsidR="00BC083F">
        <w:rPr>
          <w:rFonts w:ascii="Times" w:hAnsi="Times"/>
          <w:vertAlign w:val="superscript"/>
        </w:rPr>
        <w:t xml:space="preserve"> </w:t>
      </w:r>
      <w:r w:rsidR="00BC083F">
        <w:rPr>
          <w:rFonts w:ascii="Times" w:eastAsia="Times New Roman" w:hAnsi="Times" w:cs="Times New Roman"/>
          <w:color w:val="2A2A2A"/>
          <w:shd w:val="clear" w:color="auto" w:fill="FFFFFF"/>
        </w:rPr>
        <w:t xml:space="preserve">of </w:t>
      </w:r>
      <w:r w:rsidR="004B7259">
        <w:rPr>
          <w:rFonts w:ascii="Times" w:eastAsia="Times New Roman" w:hAnsi="Times" w:cs="Times New Roman"/>
          <w:color w:val="2A2A2A"/>
          <w:shd w:val="clear" w:color="auto" w:fill="FFFFFF"/>
        </w:rPr>
        <w:t>s</w:t>
      </w:r>
      <w:r w:rsidR="00772314" w:rsidRPr="009F1AE9">
        <w:rPr>
          <w:rFonts w:ascii="Times" w:eastAsia="Times New Roman" w:hAnsi="Times" w:cs="Times New Roman"/>
          <w:color w:val="2A2A2A"/>
          <w:shd w:val="clear" w:color="auto" w:fill="FFFFFF"/>
        </w:rPr>
        <w:t xml:space="preserve">tudents who entered college for the first time at a two-year institution and were not concurrently enrolled at a four-year institution, and then transferred for the first time to a four-year institution. </w:t>
      </w:r>
      <w:r w:rsidR="00381FC0">
        <w:rPr>
          <w:rFonts w:ascii="Times" w:eastAsia="Times New Roman" w:hAnsi="Times" w:cs="Times New Roman"/>
          <w:color w:val="2A2A2A"/>
          <w:shd w:val="clear" w:color="auto" w:fill="FFFFFF"/>
        </w:rPr>
        <w:t xml:space="preserve">Go to </w:t>
      </w:r>
      <w:hyperlink r:id="rId8" w:anchor="goal2" w:history="1">
        <w:r w:rsidR="00772314" w:rsidRPr="009F1AE9">
          <w:rPr>
            <w:rStyle w:val="Hyperlink"/>
            <w:rFonts w:ascii="Times" w:hAnsi="Times" w:cs="Times"/>
          </w:rPr>
          <w:t>http://www.txhigheredaccountabili</w:t>
        </w:r>
        <w:r w:rsidR="004B61A7">
          <w:rPr>
            <w:rStyle w:val="Hyperlink"/>
            <w:rFonts w:ascii="Times" w:hAnsi="Times" w:cs="Times"/>
          </w:rPr>
          <w:t xml:space="preserve">  </w:t>
        </w:r>
        <w:r w:rsidR="00AD1B10">
          <w:rPr>
            <w:rStyle w:val="Hyperlink"/>
            <w:rFonts w:ascii="Times" w:hAnsi="Times" w:cs="Times"/>
          </w:rPr>
          <w:t xml:space="preserve">                                                                                          </w:t>
        </w:r>
        <w:r w:rsidR="00772314" w:rsidRPr="009F1AE9">
          <w:rPr>
            <w:rStyle w:val="Hyperlink"/>
            <w:rFonts w:ascii="Times" w:hAnsi="Times" w:cs="Times"/>
          </w:rPr>
          <w:t>ty.org/acctpublic/#goal2</w:t>
        </w:r>
      </w:hyperlink>
      <w:r w:rsidR="00772314" w:rsidRPr="009F1AE9">
        <w:rPr>
          <w:rFonts w:ascii="Times" w:hAnsi="Times" w:cs="Times"/>
          <w:color w:val="000000"/>
        </w:rPr>
        <w:t xml:space="preserve">  </w:t>
      </w:r>
      <w:r w:rsidR="00741797">
        <w:rPr>
          <w:rFonts w:ascii="Times" w:hAnsi="Times" w:cs="Times"/>
          <w:color w:val="000000"/>
        </w:rPr>
        <w:t>From the top left corner</w:t>
      </w:r>
      <w:r w:rsidR="00381FC0">
        <w:rPr>
          <w:rFonts w:ascii="Times" w:hAnsi="Times" w:cs="Times"/>
          <w:color w:val="000000"/>
        </w:rPr>
        <w:t xml:space="preserve"> of the webpage</w:t>
      </w:r>
      <w:r w:rsidR="00741797">
        <w:rPr>
          <w:rFonts w:ascii="Times" w:hAnsi="Times" w:cs="Times"/>
          <w:color w:val="000000"/>
        </w:rPr>
        <w:t xml:space="preserve">, select “Public Two-Year Colleges” and then “Community Colleges.” From the 60x30 goals, select “Completion.” Select your college from the dropdown box at the left. </w:t>
      </w:r>
      <w:r w:rsidR="00B85EC3">
        <w:rPr>
          <w:rFonts w:ascii="Times" w:hAnsi="Times" w:cs="Times"/>
          <w:color w:val="000000"/>
        </w:rPr>
        <w:t xml:space="preserve">Scroll down to </w:t>
      </w:r>
      <w:r w:rsidR="00772314" w:rsidRPr="009C5698">
        <w:rPr>
          <w:rFonts w:ascii="Times" w:hAnsi="Times" w:cs="Times"/>
          <w:color w:val="000000"/>
          <w:u w:val="single"/>
        </w:rPr>
        <w:t>C17C</w:t>
      </w:r>
      <w:r w:rsidR="00B85EC3" w:rsidRPr="00FF3CC2">
        <w:rPr>
          <w:rFonts w:ascii="Times" w:hAnsi="Times" w:cs="Times"/>
          <w:color w:val="000000"/>
        </w:rPr>
        <w:t xml:space="preserve"> </w:t>
      </w:r>
      <w:r w:rsidR="00B85EC3">
        <w:rPr>
          <w:rFonts w:ascii="Times" w:hAnsi="Times" w:cs="Times"/>
          <w:color w:val="000000"/>
        </w:rPr>
        <w:t>“Transfers to Senior Institution</w:t>
      </w:r>
      <w:r w:rsidR="00EE06BA">
        <w:rPr>
          <w:rFonts w:ascii="Times" w:hAnsi="Times" w:cs="Times"/>
          <w:color w:val="000000"/>
        </w:rPr>
        <w:t>.</w:t>
      </w:r>
      <w:r w:rsidR="00B85EC3">
        <w:rPr>
          <w:rFonts w:ascii="Times" w:hAnsi="Times" w:cs="Times"/>
          <w:color w:val="000000"/>
        </w:rPr>
        <w:t>” Use the most current year</w:t>
      </w:r>
      <w:r w:rsidR="009A2AFA">
        <w:rPr>
          <w:rFonts w:ascii="Times" w:hAnsi="Times" w:cs="Times"/>
          <w:color w:val="000000"/>
        </w:rPr>
        <w:t xml:space="preserve"> </w:t>
      </w:r>
      <w:r w:rsidR="00B85EC3">
        <w:rPr>
          <w:rFonts w:ascii="Times" w:hAnsi="Times" w:cs="Times"/>
          <w:color w:val="000000"/>
        </w:rPr>
        <w:t>(</w:t>
      </w:r>
      <w:r w:rsidR="009A2AFA">
        <w:rPr>
          <w:rFonts w:ascii="Times" w:hAnsi="Times" w:cs="Times"/>
          <w:color w:val="000000"/>
        </w:rPr>
        <w:t>2016 Cohort</w:t>
      </w:r>
      <w:r w:rsidR="00B85EC3">
        <w:rPr>
          <w:rFonts w:ascii="Times" w:hAnsi="Times" w:cs="Times"/>
          <w:color w:val="000000"/>
        </w:rPr>
        <w:t>) percent of “</w:t>
      </w:r>
      <w:r w:rsidR="009A2AFA">
        <w:rPr>
          <w:rFonts w:ascii="Times" w:hAnsi="Times" w:cs="Times"/>
          <w:color w:val="000000"/>
        </w:rPr>
        <w:t>All Transfers</w:t>
      </w:r>
      <w:r w:rsidR="00741797">
        <w:rPr>
          <w:rFonts w:ascii="Times" w:hAnsi="Times" w:cs="Times"/>
          <w:color w:val="000000"/>
        </w:rPr>
        <w:t>.</w:t>
      </w:r>
      <w:r w:rsidR="00B85EC3">
        <w:rPr>
          <w:rFonts w:ascii="Times" w:hAnsi="Times" w:cs="Times"/>
          <w:color w:val="000000"/>
        </w:rPr>
        <w:t>”</w:t>
      </w:r>
    </w:p>
    <w:p w14:paraId="5474896D" w14:textId="19DE50F6" w:rsidR="00D123A1" w:rsidRPr="00381FC0" w:rsidRDefault="00446B4B" w:rsidP="004B7259">
      <w:pPr>
        <w:rPr>
          <w:rFonts w:ascii="Times" w:hAnsi="Times" w:cs="Times"/>
          <w:color w:val="000000" w:themeColor="text1"/>
        </w:rPr>
      </w:pPr>
      <w:r w:rsidRPr="009F1AE9">
        <w:rPr>
          <w:rFonts w:ascii="Times" w:hAnsi="Times"/>
          <w:vertAlign w:val="superscript"/>
        </w:rPr>
        <w:t>2</w:t>
      </w:r>
      <w:r w:rsidR="004B7259">
        <w:rPr>
          <w:rFonts w:ascii="Times" w:hAnsi="Times" w:cs="Times"/>
          <w:color w:val="000000"/>
        </w:rPr>
        <w:t>The number</w:t>
      </w:r>
      <w:r w:rsidRPr="009F1AE9">
        <w:rPr>
          <w:rFonts w:ascii="Times" w:hAnsi="Times" w:cs="Times"/>
          <w:color w:val="000000"/>
        </w:rPr>
        <w:t xml:space="preserve"> of transfer students who started at your community college and completed the core curriculum prior to their earliest enrollment at a four-year institution, divided by the number of transfer students in your college’s entering cohort.</w:t>
      </w:r>
      <w:r w:rsidR="004B7259">
        <w:rPr>
          <w:rFonts w:ascii="Times" w:hAnsi="Times" w:cs="Times"/>
          <w:color w:val="000000"/>
        </w:rPr>
        <w:t xml:space="preserve"> (Statewide data includes Texas community and technical colleges)</w:t>
      </w:r>
      <w:r w:rsidRPr="009F1AE9">
        <w:rPr>
          <w:rFonts w:ascii="Times" w:hAnsi="Times" w:cs="Times"/>
          <w:color w:val="000000"/>
        </w:rPr>
        <w:t xml:space="preserve"> </w:t>
      </w:r>
      <w:r w:rsidR="00381FC0">
        <w:rPr>
          <w:rFonts w:ascii="Times" w:hAnsi="Times" w:cs="Times"/>
          <w:color w:val="000000"/>
        </w:rPr>
        <w:t xml:space="preserve">Go to </w:t>
      </w:r>
      <w:hyperlink r:id="rId9" w:history="1">
        <w:r w:rsidRPr="009F1AE9">
          <w:rPr>
            <w:rStyle w:val="Hyperlink"/>
            <w:rFonts w:ascii="Times" w:hAnsi="Times" w:cs="Times"/>
          </w:rPr>
          <w:t>http://www.txhighereddata.org/reports/performance/ctctransfer/</w:t>
        </w:r>
      </w:hyperlink>
      <w:r w:rsidRPr="009F1AE9">
        <w:rPr>
          <w:rFonts w:ascii="Times" w:hAnsi="Times" w:cs="Times"/>
          <w:color w:val="000000"/>
        </w:rPr>
        <w:t xml:space="preserve"> </w:t>
      </w:r>
      <w:r w:rsidR="004B7259">
        <w:rPr>
          <w:rFonts w:ascii="Times" w:hAnsi="Times" w:cs="Times"/>
          <w:color w:val="000000"/>
        </w:rPr>
        <w:t>“</w:t>
      </w:r>
      <w:r w:rsidR="004B7259">
        <w:rPr>
          <w:rStyle w:val="Hyperlink"/>
          <w:rFonts w:ascii="Times" w:hAnsi="Times" w:cs="Times"/>
          <w:color w:val="000000" w:themeColor="text1"/>
          <w:u w:val="none"/>
        </w:rPr>
        <w:t>Academic Performance of 2-Year College Transfer Students at Texas Public Universities” – “Report by 2-Year Institutions</w:t>
      </w:r>
      <w:r w:rsidR="00741797">
        <w:rPr>
          <w:rStyle w:val="Hyperlink"/>
          <w:rFonts w:ascii="Times" w:hAnsi="Times" w:cs="Times"/>
          <w:color w:val="000000" w:themeColor="text1"/>
          <w:u w:val="none"/>
        </w:rPr>
        <w:t>.</w:t>
      </w:r>
      <w:r w:rsidR="004B7259">
        <w:rPr>
          <w:rStyle w:val="Hyperlink"/>
          <w:rFonts w:ascii="Times" w:hAnsi="Times" w:cs="Times"/>
          <w:color w:val="000000" w:themeColor="text1"/>
          <w:u w:val="none"/>
        </w:rPr>
        <w:t>”  From the dropdown menus select your institution and the most current report (2015).  Then select “View PDF</w:t>
      </w:r>
      <w:r w:rsidR="00C65C59">
        <w:rPr>
          <w:rStyle w:val="Hyperlink"/>
          <w:rFonts w:ascii="Times" w:hAnsi="Times" w:cs="Times"/>
          <w:color w:val="000000" w:themeColor="text1"/>
          <w:u w:val="none"/>
        </w:rPr>
        <w:t>.</w:t>
      </w:r>
      <w:r w:rsidR="00B85EC3">
        <w:rPr>
          <w:rStyle w:val="Hyperlink"/>
          <w:rFonts w:ascii="Times" w:hAnsi="Times" w:cs="Times"/>
          <w:color w:val="000000" w:themeColor="text1"/>
          <w:u w:val="none"/>
        </w:rPr>
        <w:t xml:space="preserve">”  Scroll to the second </w:t>
      </w:r>
      <w:r w:rsidR="00B85EC3">
        <w:rPr>
          <w:rStyle w:val="Hyperlink"/>
          <w:rFonts w:ascii="Times" w:hAnsi="Times" w:cs="Times"/>
          <w:color w:val="000000" w:themeColor="text1"/>
          <w:u w:val="none"/>
        </w:rPr>
        <w:lastRenderedPageBreak/>
        <w:t xml:space="preserve">spreadsheet for Core </w:t>
      </w:r>
      <w:r w:rsidR="00CF5C8B">
        <w:rPr>
          <w:rStyle w:val="Hyperlink"/>
          <w:rFonts w:ascii="Times" w:hAnsi="Times" w:cs="Times"/>
          <w:color w:val="000000" w:themeColor="text1"/>
          <w:u w:val="none"/>
        </w:rPr>
        <w:t xml:space="preserve">Curriculum </w:t>
      </w:r>
      <w:r w:rsidR="00B85EC3">
        <w:rPr>
          <w:rStyle w:val="Hyperlink"/>
          <w:rFonts w:ascii="Times" w:hAnsi="Times" w:cs="Times"/>
          <w:color w:val="000000" w:themeColor="text1"/>
          <w:u w:val="none"/>
        </w:rPr>
        <w:t>Completer Transfer data.</w:t>
      </w:r>
      <w:r w:rsidR="00C81BA6">
        <w:rPr>
          <w:rStyle w:val="Hyperlink"/>
          <w:rFonts w:ascii="Times" w:hAnsi="Times" w:cs="Times"/>
          <w:color w:val="000000" w:themeColor="text1"/>
          <w:u w:val="none"/>
        </w:rPr>
        <w:t xml:space="preserve"> Divide</w:t>
      </w:r>
      <w:r w:rsidR="00B85EC3">
        <w:rPr>
          <w:rStyle w:val="Hyperlink"/>
          <w:rFonts w:ascii="Times" w:hAnsi="Times" w:cs="Times"/>
          <w:color w:val="000000" w:themeColor="text1"/>
          <w:u w:val="none"/>
        </w:rPr>
        <w:t xml:space="preserve"> the Institutional Total</w:t>
      </w:r>
      <w:r w:rsidR="00C81BA6">
        <w:rPr>
          <w:rStyle w:val="Hyperlink"/>
          <w:rFonts w:ascii="Times" w:hAnsi="Times" w:cs="Times"/>
          <w:color w:val="000000" w:themeColor="text1"/>
          <w:u w:val="none"/>
        </w:rPr>
        <w:t xml:space="preserve"> Core Curriculum Completers (</w:t>
      </w:r>
      <w:r w:rsidR="00C81BA6" w:rsidRPr="00BA58BC">
        <w:rPr>
          <w:rStyle w:val="Hyperlink"/>
          <w:rFonts w:ascii="Times" w:hAnsi="Times" w:cs="Times"/>
          <w:i/>
          <w:color w:val="000000" w:themeColor="text1"/>
          <w:u w:val="none"/>
        </w:rPr>
        <w:t>CCC</w:t>
      </w:r>
      <w:r w:rsidR="00C81BA6">
        <w:rPr>
          <w:rStyle w:val="Hyperlink"/>
          <w:rFonts w:ascii="Times" w:hAnsi="Times" w:cs="Times"/>
          <w:color w:val="000000" w:themeColor="text1"/>
          <w:u w:val="none"/>
        </w:rPr>
        <w:t xml:space="preserve">, </w:t>
      </w:r>
      <w:r w:rsidR="00D123A1">
        <w:rPr>
          <w:rStyle w:val="Hyperlink"/>
          <w:rFonts w:ascii="Times" w:hAnsi="Times" w:cs="Times"/>
          <w:color w:val="000000" w:themeColor="text1"/>
          <w:u w:val="none"/>
        </w:rPr>
        <w:t xml:space="preserve">bottom of </w:t>
      </w:r>
      <w:r w:rsidR="00C81BA6">
        <w:rPr>
          <w:rStyle w:val="Hyperlink"/>
          <w:rFonts w:ascii="Times" w:hAnsi="Times" w:cs="Times"/>
          <w:color w:val="000000" w:themeColor="text1"/>
          <w:u w:val="none"/>
        </w:rPr>
        <w:t>column B) by the Total Transfers Fall 2015 (</w:t>
      </w:r>
      <w:r w:rsidR="00D123A1">
        <w:rPr>
          <w:rStyle w:val="Hyperlink"/>
          <w:rFonts w:ascii="Times" w:hAnsi="Times" w:cs="Times"/>
          <w:color w:val="000000" w:themeColor="text1"/>
          <w:u w:val="none"/>
        </w:rPr>
        <w:t xml:space="preserve">bottom of </w:t>
      </w:r>
      <w:r w:rsidR="00C81BA6">
        <w:rPr>
          <w:rStyle w:val="Hyperlink"/>
          <w:rFonts w:ascii="Times" w:hAnsi="Times" w:cs="Times"/>
          <w:color w:val="000000" w:themeColor="text1"/>
          <w:u w:val="none"/>
        </w:rPr>
        <w:t>column A)</w:t>
      </w:r>
    </w:p>
    <w:p w14:paraId="1FB86750" w14:textId="4D1E569A" w:rsidR="00B90F2E" w:rsidRPr="00741797" w:rsidRDefault="0030624B" w:rsidP="00741797">
      <w:pPr>
        <w:rPr>
          <w:rFonts w:ascii="Times" w:hAnsi="Times" w:cs="Times"/>
          <w:color w:val="000000" w:themeColor="text1"/>
        </w:rPr>
      </w:pPr>
      <w:r w:rsidRPr="009F1AE9">
        <w:rPr>
          <w:rFonts w:ascii="Times" w:hAnsi="Times"/>
          <w:vertAlign w:val="superscript"/>
        </w:rPr>
        <w:t>3</w:t>
      </w:r>
      <w:r w:rsidR="00F03863" w:rsidRPr="009F1AE9">
        <w:rPr>
          <w:rFonts w:ascii="Times" w:hAnsi="Times" w:cs="Times"/>
          <w:color w:val="000000"/>
        </w:rPr>
        <w:t xml:space="preserve">The number of transfer students who started at </w:t>
      </w:r>
      <w:r w:rsidR="004757EB" w:rsidRPr="009F1AE9">
        <w:rPr>
          <w:rFonts w:ascii="Times" w:hAnsi="Times" w:cs="Times"/>
          <w:color w:val="000000"/>
        </w:rPr>
        <w:t>your</w:t>
      </w:r>
      <w:r w:rsidR="00F03863" w:rsidRPr="009F1AE9">
        <w:rPr>
          <w:rFonts w:ascii="Times" w:hAnsi="Times" w:cs="Times"/>
          <w:color w:val="000000"/>
        </w:rPr>
        <w:t xml:space="preserve"> community college and earned a certificate or associate degree from </w:t>
      </w:r>
      <w:r w:rsidR="004757EB" w:rsidRPr="009F1AE9">
        <w:rPr>
          <w:rFonts w:ascii="Times" w:hAnsi="Times" w:cs="Times"/>
          <w:color w:val="000000"/>
        </w:rPr>
        <w:t>your</w:t>
      </w:r>
      <w:r w:rsidR="00F03863" w:rsidRPr="009F1AE9">
        <w:rPr>
          <w:rFonts w:ascii="Times" w:hAnsi="Times" w:cs="Times"/>
          <w:color w:val="000000"/>
        </w:rPr>
        <w:t xml:space="preserve"> college prior to their earliest enrollment at a four-year institution, divided by the number of transfer students in </w:t>
      </w:r>
      <w:r w:rsidR="004757EB" w:rsidRPr="009F1AE9">
        <w:rPr>
          <w:rFonts w:ascii="Times" w:hAnsi="Times" w:cs="Times"/>
          <w:color w:val="000000"/>
        </w:rPr>
        <w:t>your</w:t>
      </w:r>
      <w:r w:rsidR="00F03863" w:rsidRPr="009F1AE9">
        <w:rPr>
          <w:rFonts w:ascii="Times" w:hAnsi="Times" w:cs="Times"/>
          <w:color w:val="000000"/>
        </w:rPr>
        <w:t xml:space="preserve"> college’s </w:t>
      </w:r>
      <w:r w:rsidR="00E71B9B" w:rsidRPr="009F1AE9">
        <w:rPr>
          <w:rFonts w:ascii="Times" w:hAnsi="Times" w:cs="Times"/>
          <w:color w:val="000000"/>
        </w:rPr>
        <w:t>entering</w:t>
      </w:r>
      <w:r w:rsidR="00F03863" w:rsidRPr="009F1AE9">
        <w:rPr>
          <w:rFonts w:ascii="Times" w:hAnsi="Times" w:cs="Times"/>
          <w:color w:val="000000"/>
        </w:rPr>
        <w:t xml:space="preserve"> cohort. </w:t>
      </w:r>
      <w:r w:rsidR="00D123A1">
        <w:rPr>
          <w:rFonts w:ascii="Times" w:hAnsi="Times" w:cs="Times"/>
          <w:color w:val="000000"/>
        </w:rPr>
        <w:t>(Statewide data includes Texas community and technical colleges</w:t>
      </w:r>
      <w:r w:rsidR="00EE06BA">
        <w:rPr>
          <w:rFonts w:ascii="Times" w:hAnsi="Times" w:cs="Times"/>
          <w:color w:val="000000"/>
        </w:rPr>
        <w:t>.</w:t>
      </w:r>
      <w:r w:rsidR="00D123A1">
        <w:rPr>
          <w:rFonts w:ascii="Times" w:hAnsi="Times" w:cs="Times"/>
          <w:color w:val="000000"/>
        </w:rPr>
        <w:t xml:space="preserve">) </w:t>
      </w:r>
      <w:r w:rsidR="00EE06BA">
        <w:rPr>
          <w:rFonts w:ascii="Times" w:hAnsi="Times" w:cs="Times"/>
          <w:color w:val="000000"/>
        </w:rPr>
        <w:t>From the same PDF from above</w:t>
      </w:r>
      <w:r w:rsidR="00AB678E">
        <w:rPr>
          <w:rFonts w:ascii="Times" w:hAnsi="Times" w:cs="Times"/>
          <w:color w:val="000000"/>
        </w:rPr>
        <w:t xml:space="preserve"> at </w:t>
      </w:r>
      <w:hyperlink r:id="rId10" w:history="1">
        <w:r w:rsidR="00AB678E" w:rsidRPr="009F1AE9">
          <w:rPr>
            <w:rStyle w:val="Hyperlink"/>
            <w:rFonts w:ascii="Times" w:hAnsi="Times" w:cs="Times"/>
          </w:rPr>
          <w:t>http://www.txhighereddata.org/reports/performance/ctctransfer/</w:t>
        </w:r>
      </w:hyperlink>
      <w:r w:rsidR="00EE06BA">
        <w:rPr>
          <w:rFonts w:ascii="Times" w:hAnsi="Times" w:cs="Times"/>
          <w:color w:val="000000"/>
        </w:rPr>
        <w:t>,</w:t>
      </w:r>
      <w:r w:rsidR="00EE06BA">
        <w:rPr>
          <w:rStyle w:val="Hyperlink"/>
          <w:rFonts w:ascii="Times" w:hAnsi="Times" w:cs="Times"/>
          <w:color w:val="000000" w:themeColor="text1"/>
          <w:u w:val="none"/>
        </w:rPr>
        <w:t xml:space="preserve"> s</w:t>
      </w:r>
      <w:r w:rsidR="00D123A1">
        <w:rPr>
          <w:rStyle w:val="Hyperlink"/>
          <w:rFonts w:ascii="Times" w:hAnsi="Times" w:cs="Times"/>
          <w:color w:val="000000" w:themeColor="text1"/>
          <w:u w:val="none"/>
        </w:rPr>
        <w:t xml:space="preserve">croll to the third and fourth spreadsheets for Associate </w:t>
      </w:r>
      <w:r w:rsidR="001A55FD">
        <w:rPr>
          <w:rStyle w:val="Hyperlink"/>
          <w:rFonts w:ascii="Times" w:hAnsi="Times" w:cs="Times"/>
          <w:color w:val="000000" w:themeColor="text1"/>
          <w:u w:val="none"/>
        </w:rPr>
        <w:t xml:space="preserve">Degree </w:t>
      </w:r>
      <w:r w:rsidR="00D123A1">
        <w:rPr>
          <w:rStyle w:val="Hyperlink"/>
          <w:rFonts w:ascii="Times" w:hAnsi="Times" w:cs="Times"/>
          <w:color w:val="000000" w:themeColor="text1"/>
          <w:u w:val="none"/>
        </w:rPr>
        <w:t>and Certificate Transfer data. Add the Institutional Total</w:t>
      </w:r>
      <w:r w:rsidR="00BA58BC">
        <w:rPr>
          <w:rStyle w:val="Hyperlink"/>
          <w:rFonts w:ascii="Times" w:hAnsi="Times" w:cs="Times"/>
          <w:color w:val="000000" w:themeColor="text1"/>
          <w:u w:val="none"/>
        </w:rPr>
        <w:t xml:space="preserve"> number of</w:t>
      </w:r>
      <w:r w:rsidR="00D123A1">
        <w:rPr>
          <w:rStyle w:val="Hyperlink"/>
          <w:rFonts w:ascii="Times" w:hAnsi="Times" w:cs="Times"/>
          <w:color w:val="000000" w:themeColor="text1"/>
          <w:u w:val="none"/>
        </w:rPr>
        <w:t xml:space="preserve"> </w:t>
      </w:r>
      <w:r w:rsidR="00BA58BC">
        <w:rPr>
          <w:rStyle w:val="Hyperlink"/>
          <w:rFonts w:ascii="Times" w:hAnsi="Times" w:cs="Times"/>
          <w:color w:val="000000" w:themeColor="text1"/>
          <w:u w:val="none"/>
        </w:rPr>
        <w:t xml:space="preserve">Earned </w:t>
      </w:r>
      <w:r w:rsidR="00D123A1">
        <w:rPr>
          <w:rStyle w:val="Hyperlink"/>
          <w:rFonts w:ascii="Times" w:hAnsi="Times" w:cs="Times"/>
          <w:color w:val="000000" w:themeColor="text1"/>
          <w:u w:val="none"/>
        </w:rPr>
        <w:t>Academic Associate (</w:t>
      </w:r>
      <w:r w:rsidR="00BA58BC" w:rsidRPr="00BA58BC">
        <w:rPr>
          <w:rStyle w:val="Hyperlink"/>
          <w:rFonts w:ascii="Times" w:hAnsi="Times" w:cs="Times"/>
          <w:i/>
          <w:color w:val="000000" w:themeColor="text1"/>
          <w:u w:val="none"/>
        </w:rPr>
        <w:t>Acad</w:t>
      </w:r>
      <w:r w:rsidR="00BA58BC">
        <w:rPr>
          <w:rStyle w:val="Hyperlink"/>
          <w:rFonts w:ascii="Times" w:hAnsi="Times" w:cs="Times"/>
          <w:color w:val="000000" w:themeColor="text1"/>
          <w:u w:val="none"/>
        </w:rPr>
        <w:t xml:space="preserve">, </w:t>
      </w:r>
      <w:r w:rsidR="00D123A1">
        <w:rPr>
          <w:rStyle w:val="Hyperlink"/>
          <w:rFonts w:ascii="Times" w:hAnsi="Times" w:cs="Times"/>
          <w:color w:val="000000" w:themeColor="text1"/>
          <w:u w:val="none"/>
        </w:rPr>
        <w:t xml:space="preserve">bottom of column B), </w:t>
      </w:r>
      <w:r w:rsidR="00BA58BC">
        <w:rPr>
          <w:rStyle w:val="Hyperlink"/>
          <w:rFonts w:ascii="Times" w:hAnsi="Times" w:cs="Times"/>
          <w:color w:val="000000" w:themeColor="text1"/>
          <w:u w:val="none"/>
        </w:rPr>
        <w:t xml:space="preserve">Earned </w:t>
      </w:r>
      <w:r w:rsidR="00D123A1">
        <w:rPr>
          <w:rStyle w:val="Hyperlink"/>
          <w:rFonts w:ascii="Times" w:hAnsi="Times" w:cs="Times"/>
          <w:color w:val="000000" w:themeColor="text1"/>
          <w:u w:val="none"/>
        </w:rPr>
        <w:t>Technical Associates (</w:t>
      </w:r>
      <w:r w:rsidR="00BA58BC" w:rsidRPr="00BA58BC">
        <w:rPr>
          <w:rStyle w:val="Hyperlink"/>
          <w:rFonts w:ascii="Times" w:hAnsi="Times" w:cs="Times"/>
          <w:i/>
          <w:color w:val="000000" w:themeColor="text1"/>
          <w:u w:val="none"/>
        </w:rPr>
        <w:t>Tech</w:t>
      </w:r>
      <w:r w:rsidR="00BA58BC">
        <w:rPr>
          <w:rStyle w:val="Hyperlink"/>
          <w:rFonts w:ascii="Times" w:hAnsi="Times" w:cs="Times"/>
          <w:color w:val="000000" w:themeColor="text1"/>
          <w:u w:val="none"/>
        </w:rPr>
        <w:t>, bottom</w:t>
      </w:r>
      <w:r w:rsidR="00D123A1">
        <w:rPr>
          <w:rStyle w:val="Hyperlink"/>
          <w:rFonts w:ascii="Times" w:hAnsi="Times" w:cs="Times"/>
          <w:color w:val="000000" w:themeColor="text1"/>
          <w:u w:val="none"/>
        </w:rPr>
        <w:t xml:space="preserve"> of column</w:t>
      </w:r>
      <w:r w:rsidR="00BA58BC">
        <w:rPr>
          <w:rStyle w:val="Hyperlink"/>
          <w:rFonts w:ascii="Times" w:hAnsi="Times" w:cs="Times"/>
          <w:color w:val="000000" w:themeColor="text1"/>
          <w:u w:val="none"/>
        </w:rPr>
        <w:t xml:space="preserve"> E), and Earned Certificates (</w:t>
      </w:r>
      <w:r w:rsidR="00BA58BC" w:rsidRPr="00BA58BC">
        <w:rPr>
          <w:rStyle w:val="Hyperlink"/>
          <w:rFonts w:ascii="Times" w:hAnsi="Times" w:cs="Times"/>
          <w:i/>
          <w:color w:val="000000" w:themeColor="text1"/>
          <w:u w:val="none"/>
        </w:rPr>
        <w:t>Certs</w:t>
      </w:r>
      <w:r w:rsidR="00BA58BC">
        <w:rPr>
          <w:rStyle w:val="Hyperlink"/>
          <w:rFonts w:ascii="Times" w:hAnsi="Times" w:cs="Times"/>
          <w:color w:val="000000" w:themeColor="text1"/>
          <w:u w:val="none"/>
        </w:rPr>
        <w:t>, bottom of column B of next s</w:t>
      </w:r>
      <w:r w:rsidR="00EE06BA">
        <w:rPr>
          <w:rStyle w:val="Hyperlink"/>
          <w:rFonts w:ascii="Times" w:hAnsi="Times" w:cs="Times"/>
          <w:color w:val="000000" w:themeColor="text1"/>
          <w:u w:val="none"/>
        </w:rPr>
        <w:t xml:space="preserve">preadsheet.) </w:t>
      </w:r>
      <w:r w:rsidR="00BA58BC">
        <w:rPr>
          <w:rStyle w:val="Hyperlink"/>
          <w:rFonts w:ascii="Times" w:hAnsi="Times" w:cs="Times"/>
          <w:color w:val="000000" w:themeColor="text1"/>
          <w:u w:val="none"/>
        </w:rPr>
        <w:t>Divide that total number of transfer students who earned an associate’s degree or certificate</w:t>
      </w:r>
      <w:r w:rsidR="001A55FD">
        <w:rPr>
          <w:rStyle w:val="Hyperlink"/>
          <w:rFonts w:ascii="Times" w:hAnsi="Times" w:cs="Times"/>
          <w:color w:val="000000" w:themeColor="text1"/>
          <w:u w:val="none"/>
        </w:rPr>
        <w:t xml:space="preserve"> by the</w:t>
      </w:r>
      <w:r w:rsidR="0092442C">
        <w:rPr>
          <w:rStyle w:val="Hyperlink"/>
          <w:rFonts w:ascii="Times" w:hAnsi="Times" w:cs="Times"/>
          <w:color w:val="000000" w:themeColor="text1"/>
          <w:u w:val="none"/>
        </w:rPr>
        <w:t xml:space="preserve"> number of</w:t>
      </w:r>
      <w:r w:rsidR="001A55FD">
        <w:rPr>
          <w:rStyle w:val="Hyperlink"/>
          <w:rFonts w:ascii="Times" w:hAnsi="Times" w:cs="Times"/>
          <w:color w:val="000000" w:themeColor="text1"/>
          <w:u w:val="none"/>
        </w:rPr>
        <w:t xml:space="preserve"> T</w:t>
      </w:r>
      <w:r w:rsidR="00BA58BC">
        <w:rPr>
          <w:rStyle w:val="Hyperlink"/>
          <w:rFonts w:ascii="Times" w:hAnsi="Times" w:cs="Times"/>
          <w:color w:val="000000" w:themeColor="text1"/>
          <w:u w:val="none"/>
        </w:rPr>
        <w:t>otal</w:t>
      </w:r>
      <w:r w:rsidR="001A55FD">
        <w:rPr>
          <w:rStyle w:val="Hyperlink"/>
          <w:rFonts w:ascii="Times" w:hAnsi="Times" w:cs="Times"/>
          <w:color w:val="000000" w:themeColor="text1"/>
          <w:u w:val="none"/>
        </w:rPr>
        <w:t xml:space="preserve"> Transfers</w:t>
      </w:r>
      <w:r w:rsidR="00741797">
        <w:rPr>
          <w:rStyle w:val="Hyperlink"/>
          <w:rFonts w:ascii="Times" w:hAnsi="Times" w:cs="Times"/>
          <w:color w:val="000000" w:themeColor="text1"/>
          <w:u w:val="none"/>
        </w:rPr>
        <w:t>, Fall 2015 (bottom of all</w:t>
      </w:r>
      <w:r w:rsidR="001A55FD">
        <w:rPr>
          <w:rStyle w:val="Hyperlink"/>
          <w:rFonts w:ascii="Times" w:hAnsi="Times" w:cs="Times"/>
          <w:color w:val="000000" w:themeColor="text1"/>
          <w:u w:val="none"/>
        </w:rPr>
        <w:t xml:space="preserve"> columns A)</w:t>
      </w:r>
      <w:r w:rsidR="00BA58BC">
        <w:rPr>
          <w:rStyle w:val="Hyperlink"/>
          <w:rFonts w:ascii="Times" w:hAnsi="Times" w:cs="Times"/>
          <w:color w:val="000000" w:themeColor="text1"/>
          <w:u w:val="none"/>
        </w:rPr>
        <w:t xml:space="preserve">     </w:t>
      </w:r>
    </w:p>
    <w:p w14:paraId="284DDBDC" w14:textId="6536AC70" w:rsidR="00E64D6B" w:rsidRPr="0092442C" w:rsidRDefault="0030624B" w:rsidP="009F1AE9">
      <w:pPr>
        <w:spacing w:after="240" w:line="240" w:lineRule="auto"/>
        <w:rPr>
          <w:rFonts w:ascii="Times" w:eastAsia="Times New Roman" w:hAnsi="Times" w:cs="Times New Roman"/>
          <w:color w:val="2A2A2A"/>
          <w:shd w:val="clear" w:color="auto" w:fill="FFFFFF"/>
        </w:rPr>
      </w:pPr>
      <w:r w:rsidRPr="00DD284B">
        <w:rPr>
          <w:rFonts w:ascii="Times" w:hAnsi="Times"/>
          <w:vertAlign w:val="superscript"/>
        </w:rPr>
        <w:t>4</w:t>
      </w:r>
      <w:r w:rsidR="00A122E5" w:rsidRPr="00DD284B">
        <w:rPr>
          <w:rFonts w:ascii="Times" w:hAnsi="Times"/>
          <w:b/>
        </w:rPr>
        <w:t>National Data Defin</w:t>
      </w:r>
      <w:r w:rsidR="00DD284B" w:rsidRPr="00DD284B">
        <w:rPr>
          <w:rFonts w:ascii="Times" w:hAnsi="Times"/>
          <w:b/>
        </w:rPr>
        <w:t>ition:</w:t>
      </w:r>
      <w:r w:rsidR="00DD284B" w:rsidRPr="00DD284B">
        <w:rPr>
          <w:rFonts w:ascii="Times" w:hAnsi="Times"/>
          <w:b/>
          <w:vertAlign w:val="superscript"/>
        </w:rPr>
        <w:t xml:space="preserve"> </w:t>
      </w:r>
      <w:r w:rsidR="00E71B9B" w:rsidRPr="009F1AE9">
        <w:rPr>
          <w:rFonts w:ascii="Times" w:hAnsi="Times" w:cs="Times"/>
          <w:color w:val="000000"/>
        </w:rPr>
        <w:t xml:space="preserve">The number of transfer students who started at the community college and earned a bachelor’s degree from any four-year institution within six years of community college entry, divided by the number of transfer students in the community college’s entering cohort. </w:t>
      </w:r>
      <w:r w:rsidR="004D379C" w:rsidRPr="009F1AE9">
        <w:rPr>
          <w:rFonts w:ascii="Times" w:hAnsi="Times" w:cs="Times"/>
          <w:color w:val="000000"/>
        </w:rPr>
        <w:t xml:space="preserve"> </w:t>
      </w:r>
      <w:r w:rsidR="008E6FF3" w:rsidRPr="009F1AE9">
        <w:rPr>
          <w:rFonts w:ascii="Times" w:hAnsi="Times" w:cs="Times"/>
          <w:b/>
          <w:color w:val="000000"/>
        </w:rPr>
        <w:t>Texas</w:t>
      </w:r>
      <w:r w:rsidR="004D379C" w:rsidRPr="009F1AE9">
        <w:rPr>
          <w:rFonts w:ascii="Times" w:hAnsi="Times" w:cs="Times"/>
          <w:b/>
          <w:color w:val="000000"/>
        </w:rPr>
        <w:t xml:space="preserve"> Definition</w:t>
      </w:r>
      <w:r w:rsidR="004D379C" w:rsidRPr="009F1AE9">
        <w:rPr>
          <w:rFonts w:ascii="Times" w:hAnsi="Times" w:cs="Times"/>
          <w:color w:val="000000"/>
        </w:rPr>
        <w:t xml:space="preserve">: </w:t>
      </w:r>
      <w:r w:rsidR="004D379C" w:rsidRPr="009F1AE9">
        <w:rPr>
          <w:rFonts w:ascii="Times" w:eastAsia="Times New Roman" w:hAnsi="Times" w:cs="Times New Roman"/>
          <w:color w:val="2A2A2A"/>
          <w:shd w:val="clear" w:color="auto" w:fill="FFFFFF"/>
        </w:rPr>
        <w:t xml:space="preserve">First-time, full-time entering degree-seeking students who enrolled in a minimum of 12 SCH their first fall semester who graduated </w:t>
      </w:r>
      <w:r w:rsidR="008E6FF3" w:rsidRPr="009F1AE9">
        <w:rPr>
          <w:rFonts w:ascii="Times" w:eastAsia="Times New Roman" w:hAnsi="Times" w:cs="Times New Roman"/>
          <w:color w:val="2A2A2A"/>
          <w:shd w:val="clear" w:color="auto" w:fill="FFFFFF"/>
        </w:rPr>
        <w:t xml:space="preserve">with a baccalaureate degree </w:t>
      </w:r>
      <w:r w:rsidR="004D379C" w:rsidRPr="009F1AE9">
        <w:rPr>
          <w:rFonts w:ascii="Times" w:eastAsia="Times New Roman" w:hAnsi="Times" w:cs="Times New Roman"/>
          <w:color w:val="2A2A2A"/>
          <w:shd w:val="clear" w:color="auto" w:fill="FFFFFF"/>
        </w:rPr>
        <w:t xml:space="preserve">from </w:t>
      </w:r>
      <w:r w:rsidR="008E6FF3" w:rsidRPr="009F1AE9">
        <w:rPr>
          <w:rFonts w:ascii="Times" w:eastAsia="Times New Roman" w:hAnsi="Times" w:cs="Times New Roman"/>
          <w:color w:val="2A2A2A"/>
          <w:shd w:val="clear" w:color="auto" w:fill="FFFFFF"/>
        </w:rPr>
        <w:t>a</w:t>
      </w:r>
      <w:r w:rsidR="004D379C" w:rsidRPr="009F1AE9">
        <w:rPr>
          <w:rFonts w:ascii="Times" w:eastAsia="Times New Roman" w:hAnsi="Times" w:cs="Times New Roman"/>
          <w:color w:val="2A2A2A"/>
          <w:shd w:val="clear" w:color="auto" w:fill="FFFFFF"/>
        </w:rPr>
        <w:t xml:space="preserve"> Texas public or independent instituti</w:t>
      </w:r>
      <w:r w:rsidR="005250DD" w:rsidRPr="009F1AE9">
        <w:rPr>
          <w:rFonts w:ascii="Times" w:eastAsia="Times New Roman" w:hAnsi="Times" w:cs="Times New Roman"/>
          <w:color w:val="2A2A2A"/>
          <w:shd w:val="clear" w:color="auto" w:fill="FFFFFF"/>
        </w:rPr>
        <w:t>on.</w:t>
      </w:r>
      <w:r w:rsidR="00875724">
        <w:rPr>
          <w:rFonts w:ascii="Times" w:eastAsia="Times New Roman" w:hAnsi="Times" w:cs="Times New Roman"/>
          <w:color w:val="2A2A2A"/>
          <w:shd w:val="clear" w:color="auto" w:fill="FFFFFF"/>
        </w:rPr>
        <w:t xml:space="preserve"> </w:t>
      </w:r>
      <w:r w:rsidR="00EE06BA">
        <w:rPr>
          <w:rFonts w:ascii="Times" w:eastAsia="Times New Roman" w:hAnsi="Times" w:cs="Times New Roman"/>
          <w:color w:val="2A2A2A"/>
          <w:shd w:val="clear" w:color="auto" w:fill="FFFFFF"/>
        </w:rPr>
        <w:t xml:space="preserve">Go to </w:t>
      </w:r>
      <w:hyperlink r:id="rId11" w:anchor="goal2" w:history="1">
        <w:r w:rsidR="004D379C" w:rsidRPr="009F1AE9">
          <w:rPr>
            <w:rStyle w:val="Hyperlink"/>
            <w:rFonts w:ascii="Times" w:hAnsi="Times" w:cs="Times"/>
          </w:rPr>
          <w:t>http://www.txhigheredaccountability.org/acctpublic/#goal2</w:t>
        </w:r>
      </w:hyperlink>
      <w:r w:rsidR="004D379C" w:rsidRPr="009F1AE9">
        <w:rPr>
          <w:rFonts w:ascii="Times" w:hAnsi="Times" w:cs="Times"/>
          <w:color w:val="000000"/>
        </w:rPr>
        <w:t xml:space="preserve">  </w:t>
      </w:r>
      <w:r w:rsidR="0092442C">
        <w:rPr>
          <w:rFonts w:ascii="Times" w:hAnsi="Times" w:cs="Times"/>
          <w:color w:val="000000"/>
        </w:rPr>
        <w:t xml:space="preserve">From the top left corner, select “Public Two-Year Colleges” and then “Community Colleges.” From the 60x30 goals, select “Completion.” Select your college from the dropdown box at the left. Scroll down to </w:t>
      </w:r>
      <w:r w:rsidR="004D379C" w:rsidRPr="009C5698">
        <w:rPr>
          <w:rFonts w:ascii="Times" w:hAnsi="Times" w:cs="Times"/>
          <w:color w:val="000000"/>
          <w:u w:val="single"/>
        </w:rPr>
        <w:t>C03C</w:t>
      </w:r>
      <w:r w:rsidR="0092442C">
        <w:rPr>
          <w:rFonts w:ascii="Times" w:hAnsi="Times" w:cs="Times"/>
          <w:color w:val="000000"/>
        </w:rPr>
        <w:t xml:space="preserve"> “Graduation Rates.” Use the most current year (2016 Cohort) </w:t>
      </w:r>
      <w:r w:rsidR="00875724" w:rsidRPr="009F1AE9">
        <w:rPr>
          <w:rFonts w:ascii="Times" w:eastAsia="Times New Roman" w:hAnsi="Times" w:cs="Times New Roman"/>
          <w:color w:val="2A2A2A"/>
          <w:shd w:val="clear" w:color="auto" w:fill="FFFFFF"/>
        </w:rPr>
        <w:t>6-year graduation rates for baccalaureate of above</w:t>
      </w:r>
      <w:r w:rsidR="00875724">
        <w:rPr>
          <w:rFonts w:ascii="Times" w:eastAsia="Times New Roman" w:hAnsi="Times" w:cs="Times New Roman"/>
          <w:color w:val="2A2A2A"/>
          <w:shd w:val="clear" w:color="auto" w:fill="FFFFFF"/>
        </w:rPr>
        <w:t>.</w:t>
      </w:r>
    </w:p>
    <w:p w14:paraId="191B8DA1" w14:textId="4CAEB62C" w:rsidR="0094744A" w:rsidRPr="009F1AE9" w:rsidRDefault="00D92E08" w:rsidP="009F1AE9">
      <w:pPr>
        <w:pStyle w:val="EndnoteText"/>
        <w:spacing w:after="240"/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*</w:t>
      </w:r>
      <w:r w:rsidR="009F1AE9" w:rsidRPr="009F1AE9">
        <w:rPr>
          <w:rFonts w:ascii="Times" w:hAnsi="Times"/>
          <w:b/>
          <w:sz w:val="22"/>
          <w:szCs w:val="22"/>
        </w:rPr>
        <w:t xml:space="preserve">National Data </w:t>
      </w:r>
      <w:r w:rsidR="00555C69" w:rsidRPr="009F1AE9">
        <w:rPr>
          <w:rFonts w:ascii="Times" w:hAnsi="Times"/>
          <w:b/>
          <w:sz w:val="22"/>
          <w:szCs w:val="22"/>
        </w:rPr>
        <w:t>Source:</w:t>
      </w:r>
      <w:r w:rsidR="00555C69" w:rsidRPr="009F1AE9">
        <w:rPr>
          <w:rFonts w:ascii="Times" w:hAnsi="Times"/>
          <w:sz w:val="22"/>
          <w:szCs w:val="22"/>
        </w:rPr>
        <w:t xml:space="preserve"> Davis Jenkins and John Fink, </w:t>
      </w:r>
      <w:hyperlink r:id="rId12" w:history="1">
        <w:r w:rsidR="00555C69" w:rsidRPr="009F1AE9">
          <w:rPr>
            <w:rStyle w:val="Hyperlink"/>
            <w:rFonts w:ascii="Times" w:hAnsi="Times"/>
            <w:i/>
            <w:sz w:val="22"/>
            <w:szCs w:val="22"/>
          </w:rPr>
          <w:t>Tracking Transfer: New Measures of Institutional and State Effectiveness in Helping Community College Students Attain Bachelor’s Degrees</w:t>
        </w:r>
      </w:hyperlink>
      <w:r w:rsidR="00555C69" w:rsidRPr="009F1AE9">
        <w:rPr>
          <w:rFonts w:ascii="Times" w:hAnsi="Times"/>
          <w:sz w:val="22"/>
          <w:szCs w:val="22"/>
        </w:rPr>
        <w:t xml:space="preserve">, Community College Research Center, Teachers College Columbia University, Aspen Institute and National Student Clearinghouse Research Center, January 2016. </w:t>
      </w:r>
      <w:r w:rsidR="00D13167">
        <w:rPr>
          <w:rFonts w:ascii="Times" w:hAnsi="Times"/>
          <w:sz w:val="22"/>
          <w:szCs w:val="22"/>
        </w:rPr>
        <w:t>(Includes multiple states</w:t>
      </w:r>
      <w:r w:rsidR="00DD284B">
        <w:rPr>
          <w:rFonts w:ascii="Times" w:hAnsi="Times"/>
          <w:sz w:val="22"/>
          <w:szCs w:val="22"/>
        </w:rPr>
        <w:t>’ institutional data</w:t>
      </w:r>
      <w:r w:rsidR="00D13167">
        <w:rPr>
          <w:rFonts w:ascii="Times" w:hAnsi="Times"/>
          <w:sz w:val="22"/>
          <w:szCs w:val="22"/>
        </w:rPr>
        <w:t>)</w:t>
      </w:r>
      <w:r w:rsidR="00D95D34">
        <w:rPr>
          <w:rFonts w:ascii="Times" w:hAnsi="Times"/>
          <w:sz w:val="22"/>
          <w:szCs w:val="22"/>
        </w:rPr>
        <w:t xml:space="preserve">  </w:t>
      </w:r>
    </w:p>
    <w:p w14:paraId="0C49B253" w14:textId="1E64AB06" w:rsidR="00045CCA" w:rsidRPr="0094744A" w:rsidRDefault="00E64D6B" w:rsidP="00E64D6B">
      <w:pPr>
        <w:spacing w:before="240" w:after="0"/>
        <w:rPr>
          <w:rFonts w:ascii="Times" w:hAnsi="Times"/>
          <w:sz w:val="24"/>
          <w:szCs w:val="24"/>
        </w:rPr>
      </w:pPr>
      <w:r w:rsidRPr="00D5379A">
        <w:rPr>
          <w:rFonts w:ascii="Times" w:hAnsi="Times"/>
          <w:b/>
          <w:sz w:val="24"/>
          <w:szCs w:val="24"/>
        </w:rPr>
        <w:t>Table 2.</w:t>
      </w:r>
      <w:r>
        <w:rPr>
          <w:rFonts w:ascii="Times" w:hAnsi="Times"/>
          <w:b/>
        </w:rPr>
        <w:t xml:space="preserve"> </w:t>
      </w:r>
      <w:r w:rsidR="00437D2A" w:rsidRPr="0094744A">
        <w:rPr>
          <w:rFonts w:ascii="Times" w:hAnsi="Times"/>
          <w:i/>
          <w:sz w:val="24"/>
          <w:szCs w:val="24"/>
        </w:rPr>
        <w:t>Major</w:t>
      </w:r>
      <w:r w:rsidR="00245F36" w:rsidRPr="0094744A">
        <w:rPr>
          <w:rFonts w:ascii="Times" w:hAnsi="Times"/>
          <w:i/>
          <w:sz w:val="24"/>
          <w:szCs w:val="24"/>
        </w:rPr>
        <w:t xml:space="preserve"> Transfer Partner</w:t>
      </w:r>
      <w:r w:rsidR="00245F36" w:rsidRPr="0094744A">
        <w:rPr>
          <w:rFonts w:ascii="Times" w:hAnsi="Times"/>
          <w:sz w:val="24"/>
          <w:szCs w:val="24"/>
        </w:rPr>
        <w:t xml:space="preserve"> </w:t>
      </w:r>
      <w:r w:rsidR="00D91659" w:rsidRPr="0094744A">
        <w:rPr>
          <w:rFonts w:ascii="Times" w:hAnsi="Times"/>
          <w:sz w:val="24"/>
          <w:szCs w:val="24"/>
        </w:rPr>
        <w:t>Measures</w:t>
      </w:r>
      <w:r w:rsidR="004D379C" w:rsidRPr="0094744A">
        <w:rPr>
          <w:rFonts w:ascii="Times" w:hAnsi="Times" w:cs="Times"/>
          <w:color w:val="000000"/>
          <w:sz w:val="24"/>
          <w:szCs w:val="24"/>
        </w:rPr>
        <w:t xml:space="preserve"> </w:t>
      </w:r>
    </w:p>
    <w:tbl>
      <w:tblPr>
        <w:tblStyle w:val="TableGrid"/>
        <w:tblW w:w="9918" w:type="dxa"/>
        <w:tblInd w:w="198" w:type="dxa"/>
        <w:tblLook w:val="04A0" w:firstRow="1" w:lastRow="0" w:firstColumn="1" w:lastColumn="0" w:noHBand="0" w:noVBand="1"/>
      </w:tblPr>
      <w:tblGrid>
        <w:gridCol w:w="2022"/>
        <w:gridCol w:w="1402"/>
        <w:gridCol w:w="1903"/>
        <w:gridCol w:w="2206"/>
        <w:gridCol w:w="2385"/>
      </w:tblGrid>
      <w:tr w:rsidR="005E44FF" w:rsidRPr="00437D2A" w14:paraId="7CE16AC7" w14:textId="77777777" w:rsidTr="005E44FF">
        <w:trPr>
          <w:trHeight w:val="656"/>
        </w:trPr>
        <w:tc>
          <w:tcPr>
            <w:tcW w:w="2022" w:type="dxa"/>
            <w:vAlign w:val="center"/>
          </w:tcPr>
          <w:p w14:paraId="3B85F1B3" w14:textId="6E5BB5E8" w:rsidR="005E44FF" w:rsidRPr="00E64D6B" w:rsidRDefault="005E44FF" w:rsidP="00E64D6B">
            <w:pPr>
              <w:jc w:val="center"/>
              <w:rPr>
                <w:rFonts w:ascii="Times" w:hAnsi="Times"/>
              </w:rPr>
            </w:pPr>
            <w:r w:rsidRPr="00E64D6B">
              <w:rPr>
                <w:rFonts w:ascii="Times" w:hAnsi="Times"/>
              </w:rPr>
              <w:t xml:space="preserve">Top </w:t>
            </w:r>
            <w:r>
              <w:rPr>
                <w:rFonts w:ascii="Times" w:hAnsi="Times"/>
              </w:rPr>
              <w:t>3-</w:t>
            </w:r>
            <w:r w:rsidRPr="00E64D6B">
              <w:rPr>
                <w:rFonts w:ascii="Times" w:hAnsi="Times"/>
              </w:rPr>
              <w:t xml:space="preserve">5 largest </w:t>
            </w:r>
            <w:r>
              <w:rPr>
                <w:rFonts w:ascii="Times" w:hAnsi="Times"/>
              </w:rPr>
              <w:t xml:space="preserve">four-year </w:t>
            </w:r>
            <w:r w:rsidRPr="00E64D6B">
              <w:rPr>
                <w:rFonts w:ascii="Times" w:hAnsi="Times"/>
              </w:rPr>
              <w:t>transfer destinations</w:t>
            </w:r>
            <w:r w:rsidR="00A51B2E" w:rsidRPr="00A51B2E">
              <w:rPr>
                <w:rFonts w:ascii="Times" w:hAnsi="Times"/>
                <w:vertAlign w:val="superscript"/>
              </w:rPr>
              <w:t>1</w:t>
            </w:r>
          </w:p>
        </w:tc>
        <w:tc>
          <w:tcPr>
            <w:tcW w:w="1402" w:type="dxa"/>
            <w:vAlign w:val="center"/>
          </w:tcPr>
          <w:p w14:paraId="1C962856" w14:textId="4288043F" w:rsidR="005E44FF" w:rsidRPr="00437D2A" w:rsidRDefault="005E44FF" w:rsidP="00AE1BB7">
            <w:pPr>
              <w:tabs>
                <w:tab w:val="left" w:pos="1528"/>
              </w:tabs>
              <w:jc w:val="center"/>
              <w:rPr>
                <w:rFonts w:ascii="Times" w:hAnsi="Times"/>
                <w:b/>
              </w:rPr>
            </w:pPr>
            <w:r w:rsidRPr="00437D2A">
              <w:rPr>
                <w:rFonts w:ascii="Times" w:hAnsi="Times"/>
              </w:rPr>
              <w:t>Number of transfers to this university</w:t>
            </w:r>
            <w:r w:rsidR="00662F5E" w:rsidRPr="00A51B2E">
              <w:rPr>
                <w:rFonts w:ascii="Times" w:hAnsi="Times"/>
                <w:vertAlign w:val="superscript"/>
              </w:rPr>
              <w:t>1</w:t>
            </w:r>
          </w:p>
        </w:tc>
        <w:tc>
          <w:tcPr>
            <w:tcW w:w="1903" w:type="dxa"/>
          </w:tcPr>
          <w:p w14:paraId="7A261DEE" w14:textId="7717AB64" w:rsidR="005E44FF" w:rsidRPr="00437D2A" w:rsidRDefault="005E44FF" w:rsidP="00437D2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Percentage of transfers to this university that were core complete before transferring</w:t>
            </w:r>
            <w:r w:rsidR="00662F5E" w:rsidRPr="00A51B2E">
              <w:rPr>
                <w:rFonts w:ascii="Times" w:hAnsi="Times"/>
                <w:vertAlign w:val="superscript"/>
              </w:rPr>
              <w:t>1</w:t>
            </w:r>
          </w:p>
        </w:tc>
        <w:tc>
          <w:tcPr>
            <w:tcW w:w="2206" w:type="dxa"/>
            <w:vAlign w:val="center"/>
          </w:tcPr>
          <w:p w14:paraId="47962995" w14:textId="6217189B" w:rsidR="005E44FF" w:rsidRPr="00437D2A" w:rsidRDefault="005E44FF" w:rsidP="00437D2A">
            <w:pPr>
              <w:jc w:val="center"/>
              <w:rPr>
                <w:rFonts w:ascii="Times" w:hAnsi="Times"/>
                <w:b/>
              </w:rPr>
            </w:pPr>
            <w:r w:rsidRPr="00437D2A">
              <w:rPr>
                <w:rFonts w:ascii="Times" w:hAnsi="Times"/>
              </w:rPr>
              <w:t>Percent of transfers to</w:t>
            </w:r>
            <w:r w:rsidR="000E4232">
              <w:rPr>
                <w:rFonts w:ascii="Times" w:hAnsi="Times"/>
              </w:rPr>
              <w:t xml:space="preserve"> this university who earned an </w:t>
            </w:r>
            <w:r w:rsidR="00147637">
              <w:rPr>
                <w:rFonts w:ascii="Times" w:hAnsi="Times"/>
              </w:rPr>
              <w:t>associate’s</w:t>
            </w:r>
            <w:r w:rsidR="000E4232">
              <w:rPr>
                <w:rFonts w:ascii="Times" w:hAnsi="Times"/>
              </w:rPr>
              <w:t xml:space="preserve"> degree or certificate</w:t>
            </w:r>
            <w:r w:rsidRPr="00437D2A">
              <w:rPr>
                <w:rFonts w:ascii="Times" w:hAnsi="Times"/>
              </w:rPr>
              <w:t xml:space="preserve"> before transferring</w:t>
            </w:r>
            <w:r w:rsidR="00662F5E" w:rsidRPr="00A51B2E">
              <w:rPr>
                <w:rFonts w:ascii="Times" w:hAnsi="Times"/>
                <w:vertAlign w:val="superscript"/>
              </w:rPr>
              <w:t>1</w:t>
            </w:r>
          </w:p>
        </w:tc>
        <w:tc>
          <w:tcPr>
            <w:tcW w:w="2385" w:type="dxa"/>
            <w:vAlign w:val="center"/>
          </w:tcPr>
          <w:p w14:paraId="588A7D7D" w14:textId="7595F600" w:rsidR="005E44FF" w:rsidRPr="00437D2A" w:rsidRDefault="005E44FF" w:rsidP="00437D2A">
            <w:pPr>
              <w:jc w:val="center"/>
              <w:rPr>
                <w:rFonts w:ascii="Times" w:hAnsi="Times"/>
                <w:b/>
              </w:rPr>
            </w:pPr>
            <w:r w:rsidRPr="00437D2A">
              <w:rPr>
                <w:rFonts w:ascii="Times" w:hAnsi="Times"/>
              </w:rPr>
              <w:t>Bachelor’s degree completion rate among students who transferred to this university</w:t>
            </w:r>
            <w:r w:rsidR="00A51B2E">
              <w:rPr>
                <w:rFonts w:ascii="Times" w:hAnsi="Times"/>
                <w:vertAlign w:val="superscript"/>
              </w:rPr>
              <w:t>2</w:t>
            </w:r>
          </w:p>
        </w:tc>
      </w:tr>
      <w:tr w:rsidR="005E44FF" w:rsidRPr="00437D2A" w14:paraId="54C6C059" w14:textId="77777777" w:rsidTr="005E44FF">
        <w:trPr>
          <w:trHeight w:val="281"/>
        </w:trPr>
        <w:tc>
          <w:tcPr>
            <w:tcW w:w="2022" w:type="dxa"/>
            <w:vAlign w:val="center"/>
          </w:tcPr>
          <w:p w14:paraId="6ECA5E9C" w14:textId="4E1875E5" w:rsidR="005E44FF" w:rsidRPr="00437D2A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6"/>
          </w:p>
        </w:tc>
        <w:tc>
          <w:tcPr>
            <w:tcW w:w="1402" w:type="dxa"/>
            <w:vAlign w:val="center"/>
          </w:tcPr>
          <w:p w14:paraId="649C6C59" w14:textId="3EC79F67" w:rsidR="005E44FF" w:rsidRPr="000E4232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7"/>
          </w:p>
        </w:tc>
        <w:tc>
          <w:tcPr>
            <w:tcW w:w="1903" w:type="dxa"/>
          </w:tcPr>
          <w:p w14:paraId="6251DEEB" w14:textId="43F75105" w:rsidR="005E44FF" w:rsidRPr="000E4232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8"/>
          </w:p>
        </w:tc>
        <w:tc>
          <w:tcPr>
            <w:tcW w:w="2206" w:type="dxa"/>
            <w:vAlign w:val="center"/>
          </w:tcPr>
          <w:p w14:paraId="5FF57EE7" w14:textId="37E93B96" w:rsidR="005E44FF" w:rsidRPr="000E4232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9"/>
          </w:p>
        </w:tc>
        <w:tc>
          <w:tcPr>
            <w:tcW w:w="2385" w:type="dxa"/>
            <w:vAlign w:val="center"/>
          </w:tcPr>
          <w:p w14:paraId="1FFA6017" w14:textId="759A420B" w:rsidR="005E44FF" w:rsidRPr="000E4232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0"/>
          </w:p>
        </w:tc>
      </w:tr>
      <w:tr w:rsidR="005E44FF" w:rsidRPr="00437D2A" w14:paraId="31318DA3" w14:textId="77777777" w:rsidTr="005E44FF">
        <w:trPr>
          <w:trHeight w:val="264"/>
        </w:trPr>
        <w:tc>
          <w:tcPr>
            <w:tcW w:w="2022" w:type="dxa"/>
            <w:vAlign w:val="center"/>
          </w:tcPr>
          <w:p w14:paraId="67CDFF28" w14:textId="08364674" w:rsidR="005E44FF" w:rsidRPr="00437D2A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1"/>
          </w:p>
        </w:tc>
        <w:tc>
          <w:tcPr>
            <w:tcW w:w="1402" w:type="dxa"/>
            <w:vAlign w:val="center"/>
          </w:tcPr>
          <w:p w14:paraId="64C27FCA" w14:textId="3E4428E2" w:rsidR="005E44FF" w:rsidRPr="000E4232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2"/>
          </w:p>
        </w:tc>
        <w:tc>
          <w:tcPr>
            <w:tcW w:w="1903" w:type="dxa"/>
          </w:tcPr>
          <w:p w14:paraId="66046458" w14:textId="10A93D2F" w:rsidR="005E44FF" w:rsidRPr="000E4232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3"/>
          </w:p>
        </w:tc>
        <w:tc>
          <w:tcPr>
            <w:tcW w:w="2206" w:type="dxa"/>
            <w:vAlign w:val="center"/>
          </w:tcPr>
          <w:p w14:paraId="14AD558E" w14:textId="7F08D87F" w:rsidR="005E44FF" w:rsidRPr="000E4232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4"/>
          </w:p>
        </w:tc>
        <w:tc>
          <w:tcPr>
            <w:tcW w:w="2385" w:type="dxa"/>
            <w:vAlign w:val="center"/>
          </w:tcPr>
          <w:p w14:paraId="243F586C" w14:textId="77200CB3" w:rsidR="005E44FF" w:rsidRPr="000E4232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5"/>
          </w:p>
        </w:tc>
      </w:tr>
      <w:tr w:rsidR="005E44FF" w:rsidRPr="00437D2A" w14:paraId="3578C30F" w14:textId="77777777" w:rsidTr="005E44FF">
        <w:trPr>
          <w:trHeight w:val="281"/>
        </w:trPr>
        <w:tc>
          <w:tcPr>
            <w:tcW w:w="2022" w:type="dxa"/>
            <w:vAlign w:val="center"/>
          </w:tcPr>
          <w:p w14:paraId="551377A9" w14:textId="096F705D" w:rsidR="005E44FF" w:rsidRPr="00437D2A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6"/>
          </w:p>
        </w:tc>
        <w:tc>
          <w:tcPr>
            <w:tcW w:w="1402" w:type="dxa"/>
            <w:vAlign w:val="center"/>
          </w:tcPr>
          <w:p w14:paraId="66E2793D" w14:textId="16FF885F" w:rsidR="005E44FF" w:rsidRPr="000E4232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7"/>
          </w:p>
        </w:tc>
        <w:tc>
          <w:tcPr>
            <w:tcW w:w="1903" w:type="dxa"/>
          </w:tcPr>
          <w:p w14:paraId="46DE419C" w14:textId="3316B3A9" w:rsidR="005E44FF" w:rsidRPr="000E4232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8"/>
          </w:p>
        </w:tc>
        <w:tc>
          <w:tcPr>
            <w:tcW w:w="2206" w:type="dxa"/>
            <w:vAlign w:val="center"/>
          </w:tcPr>
          <w:p w14:paraId="19521A1D" w14:textId="071378A8" w:rsidR="005E44FF" w:rsidRPr="000E4232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9"/>
          </w:p>
        </w:tc>
        <w:tc>
          <w:tcPr>
            <w:tcW w:w="2385" w:type="dxa"/>
            <w:vAlign w:val="center"/>
          </w:tcPr>
          <w:p w14:paraId="602742CC" w14:textId="5D5AD6F0" w:rsidR="005E44FF" w:rsidRPr="000E4232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0"/>
          </w:p>
        </w:tc>
      </w:tr>
      <w:tr w:rsidR="005E44FF" w:rsidRPr="00437D2A" w14:paraId="762A2BAD" w14:textId="77777777" w:rsidTr="005E44FF">
        <w:trPr>
          <w:trHeight w:val="281"/>
        </w:trPr>
        <w:tc>
          <w:tcPr>
            <w:tcW w:w="2022" w:type="dxa"/>
            <w:vAlign w:val="center"/>
          </w:tcPr>
          <w:p w14:paraId="74DFE412" w14:textId="5EE17699" w:rsidR="005E44FF" w:rsidRPr="00437D2A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1"/>
          </w:p>
        </w:tc>
        <w:tc>
          <w:tcPr>
            <w:tcW w:w="1402" w:type="dxa"/>
            <w:vAlign w:val="center"/>
          </w:tcPr>
          <w:p w14:paraId="4C3D8DA2" w14:textId="387DE013" w:rsidR="005E44FF" w:rsidRPr="000E4232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2"/>
          </w:p>
        </w:tc>
        <w:tc>
          <w:tcPr>
            <w:tcW w:w="1903" w:type="dxa"/>
          </w:tcPr>
          <w:p w14:paraId="10891818" w14:textId="7F90C740" w:rsidR="005E44FF" w:rsidRPr="000E4232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3"/>
          </w:p>
        </w:tc>
        <w:tc>
          <w:tcPr>
            <w:tcW w:w="2206" w:type="dxa"/>
            <w:vAlign w:val="center"/>
          </w:tcPr>
          <w:p w14:paraId="706F6CDF" w14:textId="3D5B6862" w:rsidR="005E44FF" w:rsidRPr="000E4232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4"/>
          </w:p>
        </w:tc>
        <w:tc>
          <w:tcPr>
            <w:tcW w:w="2385" w:type="dxa"/>
            <w:vAlign w:val="center"/>
          </w:tcPr>
          <w:p w14:paraId="78F289DA" w14:textId="688AAAAE" w:rsidR="005E44FF" w:rsidRPr="000E4232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5"/>
          </w:p>
        </w:tc>
      </w:tr>
      <w:tr w:rsidR="005E44FF" w:rsidRPr="00437D2A" w14:paraId="5CB219CC" w14:textId="77777777" w:rsidTr="005E44FF">
        <w:trPr>
          <w:trHeight w:val="281"/>
        </w:trPr>
        <w:tc>
          <w:tcPr>
            <w:tcW w:w="2022" w:type="dxa"/>
            <w:vAlign w:val="center"/>
          </w:tcPr>
          <w:p w14:paraId="4ADA7C2A" w14:textId="11FDF2B0" w:rsidR="005E44FF" w:rsidRPr="00437D2A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6"/>
          </w:p>
        </w:tc>
        <w:tc>
          <w:tcPr>
            <w:tcW w:w="1402" w:type="dxa"/>
            <w:vAlign w:val="center"/>
          </w:tcPr>
          <w:p w14:paraId="3ADA3BE3" w14:textId="53D362A4" w:rsidR="005E44FF" w:rsidRPr="000E4232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7"/>
          </w:p>
        </w:tc>
        <w:tc>
          <w:tcPr>
            <w:tcW w:w="1903" w:type="dxa"/>
          </w:tcPr>
          <w:p w14:paraId="7683F9BF" w14:textId="5D55F677" w:rsidR="005E44FF" w:rsidRPr="000E4232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8"/>
          </w:p>
        </w:tc>
        <w:tc>
          <w:tcPr>
            <w:tcW w:w="2206" w:type="dxa"/>
            <w:vAlign w:val="center"/>
          </w:tcPr>
          <w:p w14:paraId="61384B21" w14:textId="611EDBE7" w:rsidR="005E44FF" w:rsidRPr="000E4232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9"/>
          </w:p>
        </w:tc>
        <w:tc>
          <w:tcPr>
            <w:tcW w:w="2385" w:type="dxa"/>
            <w:vAlign w:val="center"/>
          </w:tcPr>
          <w:p w14:paraId="7153D649" w14:textId="154DC635" w:rsidR="005E44FF" w:rsidRPr="000E4232" w:rsidRDefault="00872693" w:rsidP="008726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30"/>
          </w:p>
        </w:tc>
      </w:tr>
    </w:tbl>
    <w:p w14:paraId="525AEF85" w14:textId="77777777" w:rsidR="00E1262A" w:rsidRDefault="00E1262A" w:rsidP="00E64D6B">
      <w:pPr>
        <w:pStyle w:val="EndnoteText"/>
        <w:rPr>
          <w:rFonts w:ascii="Times" w:hAnsi="Times" w:cs="Times"/>
          <w:color w:val="000000"/>
        </w:rPr>
      </w:pPr>
    </w:p>
    <w:p w14:paraId="50C9D40B" w14:textId="4994A4FB" w:rsidR="00CA3234" w:rsidRPr="00A51B2E" w:rsidRDefault="00662F5E" w:rsidP="00A51B2E">
      <w:pP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" w:hAnsi="Times"/>
          <w:vertAlign w:val="superscript"/>
        </w:rPr>
        <w:lastRenderedPageBreak/>
        <w:t>1</w:t>
      </w:r>
      <w:r w:rsidRPr="00662F5E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These university specific transfer data </w:t>
      </w:r>
      <w:r w:rsidR="00A51B2E">
        <w:rPr>
          <w:rFonts w:ascii="Times" w:hAnsi="Times" w:cs="Times"/>
          <w:color w:val="000000"/>
        </w:rPr>
        <w:t xml:space="preserve">points </w:t>
      </w:r>
      <w:r>
        <w:rPr>
          <w:rFonts w:ascii="Times" w:hAnsi="Times" w:cs="Times"/>
          <w:color w:val="000000"/>
        </w:rPr>
        <w:t xml:space="preserve">can be found at </w:t>
      </w:r>
      <w:hyperlink r:id="rId13" w:history="1">
        <w:r w:rsidRPr="009F1AE9">
          <w:rPr>
            <w:rStyle w:val="Hyperlink"/>
            <w:rFonts w:ascii="Times" w:hAnsi="Times" w:cs="Times"/>
          </w:rPr>
          <w:t>http://www.txhighereddata.org/reports/performance/ctctransfer/</w:t>
        </w:r>
      </w:hyperlink>
      <w:r>
        <w:rPr>
          <w:rStyle w:val="Hyperlink"/>
          <w:rFonts w:ascii="Times" w:hAnsi="Times" w:cs="Times"/>
          <w:color w:val="000000" w:themeColor="text1"/>
          <w:u w:val="none"/>
        </w:rPr>
        <w:t xml:space="preserve">  </w:t>
      </w:r>
      <w:r w:rsidR="0092442C">
        <w:rPr>
          <w:rStyle w:val="Hyperlink"/>
          <w:rFonts w:ascii="Times" w:hAnsi="Times" w:cs="Times"/>
          <w:color w:val="000000" w:themeColor="text1"/>
          <w:u w:val="none"/>
        </w:rPr>
        <w:t>Go to “</w:t>
      </w:r>
      <w:r>
        <w:rPr>
          <w:rStyle w:val="Hyperlink"/>
          <w:rFonts w:ascii="Times" w:hAnsi="Times" w:cs="Times"/>
          <w:color w:val="000000" w:themeColor="text1"/>
          <w:u w:val="none"/>
        </w:rPr>
        <w:t>Academic Performance of 2-Year College Transfer Students at Texas Public Universities</w:t>
      </w:r>
      <w:r w:rsidR="0092442C">
        <w:rPr>
          <w:rStyle w:val="Hyperlink"/>
          <w:rFonts w:ascii="Times" w:hAnsi="Times" w:cs="Times"/>
          <w:color w:val="000000" w:themeColor="text1"/>
          <w:u w:val="none"/>
        </w:rPr>
        <w:t>”</w:t>
      </w:r>
      <w:r>
        <w:rPr>
          <w:rStyle w:val="Hyperlink"/>
          <w:rFonts w:ascii="Times" w:hAnsi="Times" w:cs="Times"/>
          <w:color w:val="000000" w:themeColor="text1"/>
          <w:u w:val="none"/>
        </w:rPr>
        <w:t xml:space="preserve"> – </w:t>
      </w:r>
      <w:r w:rsidR="0092442C">
        <w:rPr>
          <w:rStyle w:val="Hyperlink"/>
          <w:rFonts w:ascii="Times" w:hAnsi="Times" w:cs="Times"/>
          <w:color w:val="000000" w:themeColor="text1"/>
          <w:u w:val="none"/>
        </w:rPr>
        <w:t>“</w:t>
      </w:r>
      <w:r>
        <w:rPr>
          <w:rStyle w:val="Hyperlink"/>
          <w:rFonts w:ascii="Times" w:hAnsi="Times" w:cs="Times"/>
          <w:color w:val="000000" w:themeColor="text1"/>
          <w:u w:val="none"/>
        </w:rPr>
        <w:t>Report by 2-Year Institutions.</w:t>
      </w:r>
      <w:r w:rsidR="0092442C">
        <w:rPr>
          <w:rStyle w:val="Hyperlink"/>
          <w:rFonts w:ascii="Times" w:hAnsi="Times" w:cs="Times"/>
          <w:color w:val="000000" w:themeColor="text1"/>
          <w:u w:val="none"/>
        </w:rPr>
        <w:t>”</w:t>
      </w:r>
      <w:r>
        <w:rPr>
          <w:rStyle w:val="Hyperlink"/>
          <w:rFonts w:ascii="Times" w:hAnsi="Times" w:cs="Times"/>
          <w:color w:val="000000" w:themeColor="text1"/>
          <w:u w:val="none"/>
        </w:rPr>
        <w:t xml:space="preserve">  Select your institution and the most current report</w:t>
      </w:r>
      <w:r w:rsidR="00A51B2E">
        <w:rPr>
          <w:rStyle w:val="Hyperlink"/>
          <w:rFonts w:ascii="Times" w:hAnsi="Times" w:cs="Times"/>
          <w:color w:val="000000" w:themeColor="text1"/>
          <w:u w:val="none"/>
        </w:rPr>
        <w:t xml:space="preserve"> (2015).</w:t>
      </w:r>
      <w:r w:rsidR="0092442C">
        <w:rPr>
          <w:rStyle w:val="Hyperlink"/>
          <w:rFonts w:ascii="Times" w:hAnsi="Times" w:cs="Times"/>
          <w:color w:val="000000" w:themeColor="text1"/>
          <w:u w:val="none"/>
        </w:rPr>
        <w:t xml:space="preserve"> </w:t>
      </w:r>
      <w:r w:rsidR="00EE06BA">
        <w:rPr>
          <w:rStyle w:val="Hyperlink"/>
          <w:rFonts w:ascii="Times" w:hAnsi="Times" w:cs="Times"/>
          <w:color w:val="000000" w:themeColor="text1"/>
          <w:u w:val="none"/>
        </w:rPr>
        <w:t xml:space="preserve">Then select “View PDF.”  </w:t>
      </w:r>
      <w:r w:rsidR="0092442C">
        <w:rPr>
          <w:rStyle w:val="Hyperlink"/>
          <w:rFonts w:ascii="Times" w:hAnsi="Times" w:cs="Times"/>
          <w:color w:val="000000" w:themeColor="text1"/>
          <w:u w:val="none"/>
        </w:rPr>
        <w:t xml:space="preserve">Based on the number of Total Transfers, </w:t>
      </w:r>
      <w:proofErr w:type="gramStart"/>
      <w:r w:rsidR="0092442C">
        <w:rPr>
          <w:rStyle w:val="Hyperlink"/>
          <w:rFonts w:ascii="Times" w:hAnsi="Times" w:cs="Times"/>
          <w:color w:val="000000" w:themeColor="text1"/>
          <w:u w:val="none"/>
        </w:rPr>
        <w:t>Fall</w:t>
      </w:r>
      <w:proofErr w:type="gramEnd"/>
      <w:r w:rsidR="0092442C">
        <w:rPr>
          <w:rStyle w:val="Hyperlink"/>
          <w:rFonts w:ascii="Times" w:hAnsi="Times" w:cs="Times"/>
          <w:color w:val="000000" w:themeColor="text1"/>
          <w:u w:val="none"/>
        </w:rPr>
        <w:t xml:space="preserve"> 2015 (column A), </w:t>
      </w:r>
      <w:r w:rsidR="00F511A1">
        <w:rPr>
          <w:rStyle w:val="Hyperlink"/>
          <w:rFonts w:ascii="Times" w:hAnsi="Times" w:cs="Times"/>
          <w:color w:val="000000" w:themeColor="text1"/>
          <w:u w:val="none"/>
        </w:rPr>
        <w:t xml:space="preserve">note the universities that the largest numbers of your transfer students attend.  </w:t>
      </w:r>
      <w:r w:rsidR="00F15B70">
        <w:rPr>
          <w:rStyle w:val="Hyperlink"/>
          <w:rFonts w:ascii="Times" w:hAnsi="Times" w:cs="Times"/>
          <w:color w:val="000000" w:themeColor="text1"/>
          <w:u w:val="none"/>
        </w:rPr>
        <w:t>For each university, r</w:t>
      </w:r>
      <w:r w:rsidR="00F511A1">
        <w:rPr>
          <w:rStyle w:val="Hyperlink"/>
          <w:rFonts w:ascii="Times" w:hAnsi="Times" w:cs="Times"/>
          <w:color w:val="000000" w:themeColor="text1"/>
          <w:u w:val="none"/>
        </w:rPr>
        <w:t>ecord the number of transfer students (column A), percent that were core completers (second spreadsheet, column B), and percent who had earned a credential prior to transfer (third spreadsheet</w:t>
      </w:r>
      <w:r w:rsidR="00F15B70">
        <w:rPr>
          <w:rStyle w:val="Hyperlink"/>
          <w:rFonts w:ascii="Times" w:hAnsi="Times" w:cs="Times"/>
          <w:color w:val="000000" w:themeColor="text1"/>
          <w:u w:val="none"/>
        </w:rPr>
        <w:t>,</w:t>
      </w:r>
      <w:r w:rsidR="00F511A1">
        <w:rPr>
          <w:rStyle w:val="Hyperlink"/>
          <w:rFonts w:ascii="Times" w:hAnsi="Times" w:cs="Times"/>
          <w:color w:val="000000" w:themeColor="text1"/>
          <w:u w:val="none"/>
        </w:rPr>
        <w:t xml:space="preserve"> column</w:t>
      </w:r>
      <w:r w:rsidR="00F15B70">
        <w:rPr>
          <w:rStyle w:val="Hyperlink"/>
          <w:rFonts w:ascii="Times" w:hAnsi="Times" w:cs="Times"/>
          <w:color w:val="000000" w:themeColor="text1"/>
          <w:u w:val="none"/>
        </w:rPr>
        <w:t>s</w:t>
      </w:r>
      <w:r w:rsidR="00F511A1">
        <w:rPr>
          <w:rStyle w:val="Hyperlink"/>
          <w:rFonts w:ascii="Times" w:hAnsi="Times" w:cs="Times"/>
          <w:color w:val="000000" w:themeColor="text1"/>
          <w:u w:val="none"/>
        </w:rPr>
        <w:t xml:space="preserve"> B</w:t>
      </w:r>
      <w:r w:rsidR="00F15B70">
        <w:rPr>
          <w:rStyle w:val="Hyperlink"/>
          <w:rFonts w:ascii="Times" w:hAnsi="Times" w:cs="Times"/>
          <w:color w:val="000000" w:themeColor="text1"/>
          <w:u w:val="none"/>
        </w:rPr>
        <w:t xml:space="preserve"> and E;</w:t>
      </w:r>
      <w:r w:rsidR="00C65C59">
        <w:rPr>
          <w:rStyle w:val="Hyperlink"/>
          <w:rFonts w:ascii="Times" w:hAnsi="Times" w:cs="Times"/>
          <w:color w:val="000000" w:themeColor="text1"/>
          <w:u w:val="none"/>
        </w:rPr>
        <w:t xml:space="preserve"> </w:t>
      </w:r>
      <w:proofErr w:type="gramStart"/>
      <w:r w:rsidR="00C65C59">
        <w:rPr>
          <w:rStyle w:val="Hyperlink"/>
          <w:rFonts w:ascii="Times" w:hAnsi="Times" w:cs="Times"/>
          <w:color w:val="000000" w:themeColor="text1"/>
          <w:u w:val="none"/>
        </w:rPr>
        <w:t>plus</w:t>
      </w:r>
      <w:proofErr w:type="gramEnd"/>
      <w:r w:rsidR="00F15B70">
        <w:rPr>
          <w:rStyle w:val="Hyperlink"/>
          <w:rFonts w:ascii="Times" w:hAnsi="Times" w:cs="Times"/>
          <w:color w:val="000000" w:themeColor="text1"/>
          <w:u w:val="none"/>
        </w:rPr>
        <w:t xml:space="preserve"> fourth spreadsheet, column B). </w:t>
      </w:r>
    </w:p>
    <w:p w14:paraId="7BE3BBFB" w14:textId="5A1D681B" w:rsidR="00A51B2E" w:rsidRPr="00A51B2E" w:rsidRDefault="00662F5E" w:rsidP="00A51B2E">
      <w:pP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662F5E">
        <w:rPr>
          <w:rStyle w:val="Hyperlink"/>
          <w:rFonts w:ascii="Times" w:hAnsi="Times" w:cs="Times"/>
          <w:color w:val="000000" w:themeColor="text1"/>
          <w:u w:val="none"/>
          <w:vertAlign w:val="superscript"/>
        </w:rPr>
        <w:t xml:space="preserve">2 </w:t>
      </w:r>
      <w:r>
        <w:rPr>
          <w:rStyle w:val="Hyperlink"/>
          <w:rFonts w:ascii="Times" w:hAnsi="Times" w:cs="Times"/>
          <w:color w:val="000000" w:themeColor="text1"/>
          <w:u w:val="none"/>
        </w:rPr>
        <w:t xml:space="preserve">The university specific bachelor’s degree data can be found at  </w:t>
      </w:r>
      <w:hyperlink r:id="rId14" w:history="1">
        <w:r w:rsidRPr="009F1AE9">
          <w:rPr>
            <w:rStyle w:val="Hyperlink"/>
            <w:rFonts w:ascii="Times" w:hAnsi="Times" w:cs="Times"/>
          </w:rPr>
          <w:t>http://www.txhighereddata.org/reports/performance/ctctransfer/</w:t>
        </w:r>
      </w:hyperlink>
      <w:r w:rsidR="00A51B2E">
        <w:rPr>
          <w:rStyle w:val="Hyperlink"/>
          <w:rFonts w:ascii="Times" w:hAnsi="Times" w:cs="Times"/>
          <w:u w:val="none"/>
        </w:rPr>
        <w:t xml:space="preserve">  </w:t>
      </w:r>
      <w:r w:rsidR="00F15B70" w:rsidRPr="00F15B70">
        <w:rPr>
          <w:rStyle w:val="Hyperlink"/>
          <w:rFonts w:ascii="Times" w:hAnsi="Times" w:cs="Times"/>
          <w:color w:val="000000" w:themeColor="text1"/>
          <w:u w:val="none"/>
        </w:rPr>
        <w:t xml:space="preserve">Go to </w:t>
      </w:r>
      <w:r w:rsidR="00F15B70">
        <w:rPr>
          <w:rStyle w:val="Hyperlink"/>
          <w:rFonts w:ascii="Times" w:hAnsi="Times" w:cs="Times"/>
          <w:color w:val="000000" w:themeColor="text1"/>
          <w:u w:val="none"/>
        </w:rPr>
        <w:t>“</w:t>
      </w:r>
      <w:r w:rsidR="00A51B2E" w:rsidRPr="00A51B2E">
        <w:rPr>
          <w:rStyle w:val="Hyperlink"/>
          <w:rFonts w:ascii="Times" w:hAnsi="Times" w:cs="Times"/>
          <w:color w:val="000000" w:themeColor="text1"/>
          <w:u w:val="none"/>
        </w:rPr>
        <w:t>Graduation of 2-</w:t>
      </w:r>
      <w:r w:rsidR="00A51B2E">
        <w:rPr>
          <w:rStyle w:val="Hyperlink"/>
          <w:rFonts w:ascii="Times" w:hAnsi="Times" w:cs="Times"/>
          <w:color w:val="000000" w:themeColor="text1"/>
          <w:u w:val="none"/>
        </w:rPr>
        <w:t>Year College Transfer Students</w:t>
      </w:r>
      <w:r w:rsidR="00F15B70">
        <w:rPr>
          <w:rStyle w:val="Hyperlink"/>
          <w:rFonts w:ascii="Times" w:hAnsi="Times" w:cs="Times"/>
          <w:color w:val="000000" w:themeColor="text1"/>
          <w:u w:val="none"/>
        </w:rPr>
        <w:t>”</w:t>
      </w:r>
      <w:r w:rsidR="00C65C59">
        <w:rPr>
          <w:rStyle w:val="Hyperlink"/>
          <w:rFonts w:ascii="Times" w:hAnsi="Times" w:cs="Times"/>
          <w:color w:val="000000" w:themeColor="text1"/>
          <w:u w:val="none"/>
        </w:rPr>
        <w:t xml:space="preserve"> (in the middle of the page)</w:t>
      </w:r>
      <w:r w:rsidR="00A51B2E">
        <w:rPr>
          <w:rStyle w:val="Hyperlink"/>
          <w:rFonts w:ascii="Times" w:hAnsi="Times" w:cs="Times"/>
          <w:color w:val="000000" w:themeColor="text1"/>
          <w:u w:val="none"/>
        </w:rPr>
        <w:t xml:space="preserve"> – </w:t>
      </w:r>
      <w:r w:rsidR="00F15B70">
        <w:rPr>
          <w:rStyle w:val="Hyperlink"/>
          <w:rFonts w:ascii="Times" w:hAnsi="Times" w:cs="Times"/>
          <w:color w:val="000000" w:themeColor="text1"/>
          <w:u w:val="none"/>
        </w:rPr>
        <w:t>“</w:t>
      </w:r>
      <w:r w:rsidR="00A51B2E">
        <w:rPr>
          <w:rStyle w:val="Hyperlink"/>
          <w:rFonts w:ascii="Times" w:hAnsi="Times" w:cs="Times"/>
          <w:color w:val="000000" w:themeColor="text1"/>
          <w:u w:val="none"/>
        </w:rPr>
        <w:t>Report by 2-Year Institutions.</w:t>
      </w:r>
      <w:r w:rsidR="00F15B70">
        <w:rPr>
          <w:rStyle w:val="Hyperlink"/>
          <w:rFonts w:ascii="Times" w:hAnsi="Times" w:cs="Times"/>
          <w:color w:val="000000" w:themeColor="text1"/>
          <w:u w:val="none"/>
        </w:rPr>
        <w:t>”</w:t>
      </w:r>
      <w:r w:rsidR="00A51B2E">
        <w:rPr>
          <w:rStyle w:val="Hyperlink"/>
          <w:rFonts w:ascii="Times" w:hAnsi="Times" w:cs="Times"/>
          <w:color w:val="000000" w:themeColor="text1"/>
          <w:u w:val="none"/>
        </w:rPr>
        <w:t xml:space="preserve"> Select your institution and the most current report (2012).</w:t>
      </w:r>
      <w:r w:rsidR="00F15B70">
        <w:rPr>
          <w:rStyle w:val="Hyperlink"/>
          <w:rFonts w:ascii="Times" w:hAnsi="Times" w:cs="Times"/>
          <w:color w:val="000000" w:themeColor="text1"/>
          <w:u w:val="none"/>
        </w:rPr>
        <w:t xml:space="preserve"> Then select “View PDF</w:t>
      </w:r>
      <w:r w:rsidR="00C65C59">
        <w:rPr>
          <w:rStyle w:val="Hyperlink"/>
          <w:rFonts w:ascii="Times" w:hAnsi="Times" w:cs="Times"/>
          <w:color w:val="000000" w:themeColor="text1"/>
          <w:u w:val="none"/>
        </w:rPr>
        <w:t>.</w:t>
      </w:r>
      <w:r w:rsidR="00F15B70">
        <w:rPr>
          <w:rStyle w:val="Hyperlink"/>
          <w:rFonts w:ascii="Times" w:hAnsi="Times" w:cs="Times"/>
          <w:color w:val="000000" w:themeColor="text1"/>
          <w:u w:val="none"/>
        </w:rPr>
        <w:t xml:space="preserve">”  For each university, </w:t>
      </w:r>
      <w:r w:rsidR="00381FC0">
        <w:rPr>
          <w:rStyle w:val="Hyperlink"/>
          <w:rFonts w:ascii="Times" w:hAnsi="Times" w:cs="Times"/>
          <w:color w:val="000000" w:themeColor="text1"/>
          <w:u w:val="none"/>
        </w:rPr>
        <w:t xml:space="preserve">record the percent graduated (column B). </w:t>
      </w:r>
    </w:p>
    <w:p w14:paraId="16A39F6D" w14:textId="082B302C" w:rsidR="00A51B2E" w:rsidRPr="00A51B2E" w:rsidRDefault="00A51B2E" w:rsidP="00A51B2E">
      <w:pPr>
        <w:rPr>
          <w:rFonts w:ascii="Times New Roman" w:eastAsia="Times New Roman" w:hAnsi="Times New Roman" w:cs="Times New Roman"/>
          <w:sz w:val="24"/>
          <w:szCs w:val="24"/>
        </w:rPr>
      </w:pPr>
      <w:r w:rsidRPr="00A51B2E">
        <w:rPr>
          <w:rFonts w:ascii="Arial" w:eastAsia="Times New Roman" w:hAnsi="Arial" w:cs="Arial"/>
          <w:color w:val="000000"/>
        </w:rPr>
        <w:br/>
      </w:r>
    </w:p>
    <w:p w14:paraId="5BD4208F" w14:textId="7E647606" w:rsidR="00662F5E" w:rsidRPr="00A51B2E" w:rsidRDefault="00662F5E" w:rsidP="00CA3234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000000" w:themeColor="text1"/>
        </w:rPr>
      </w:pPr>
    </w:p>
    <w:p w14:paraId="71DA46E7" w14:textId="77777777" w:rsidR="00CA3234" w:rsidRDefault="00CA3234" w:rsidP="00E64D6B">
      <w:pPr>
        <w:pStyle w:val="EndnoteText"/>
        <w:rPr>
          <w:rFonts w:ascii="Times" w:hAnsi="Times"/>
        </w:rPr>
      </w:pPr>
    </w:p>
    <w:sectPr w:rsidR="00CA3234" w:rsidSect="00FB37ED">
      <w:headerReference w:type="default" r:id="rId15"/>
      <w:footerReference w:type="default" r:id="rId16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DEAFC" w14:textId="77777777" w:rsidR="00245D04" w:rsidRDefault="00245D04" w:rsidP="003F5237">
      <w:pPr>
        <w:spacing w:after="0" w:line="240" w:lineRule="auto"/>
      </w:pPr>
      <w:r>
        <w:separator/>
      </w:r>
    </w:p>
  </w:endnote>
  <w:endnote w:type="continuationSeparator" w:id="0">
    <w:p w14:paraId="72C64CA1" w14:textId="77777777" w:rsidR="00245D04" w:rsidRDefault="00245D04" w:rsidP="003F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D0544" w14:textId="50A969F9" w:rsidR="00944254" w:rsidRPr="00944254" w:rsidRDefault="00944254" w:rsidP="00514E86">
    <w:pPr>
      <w:spacing w:after="0" w:line="240" w:lineRule="auto"/>
      <w:rPr>
        <w:rFonts w:ascii="Times New Roman" w:eastAsia="Times New Roman" w:hAnsi="Times New Roman" w:cs="Times New Roman"/>
        <w:color w:val="808080" w:themeColor="background1" w:themeShade="80"/>
        <w:sz w:val="18"/>
        <w:szCs w:val="20"/>
      </w:rPr>
    </w:pPr>
    <w:r w:rsidRPr="00944254">
      <w:rPr>
        <w:rFonts w:ascii="Times" w:eastAsia="Times New Roman" w:hAnsi="Times" w:cs="Times New Roman"/>
        <w:color w:val="808080" w:themeColor="background1" w:themeShade="80"/>
        <w:sz w:val="18"/>
        <w:szCs w:val="20"/>
      </w:rPr>
      <w:t>This planning tool was adapted for Texas community colleg</w:t>
    </w:r>
    <w:r w:rsidR="00514E86">
      <w:rPr>
        <w:rFonts w:ascii="Times" w:eastAsia="Times New Roman" w:hAnsi="Times" w:cs="Times New Roman"/>
        <w:color w:val="808080" w:themeColor="background1" w:themeShade="80"/>
        <w:sz w:val="18"/>
        <w:szCs w:val="20"/>
      </w:rPr>
      <w:t>e</w:t>
    </w:r>
    <w:r w:rsidRPr="00944254">
      <w:rPr>
        <w:rFonts w:ascii="Times" w:eastAsia="Times New Roman" w:hAnsi="Times" w:cs="Times New Roman"/>
        <w:color w:val="808080" w:themeColor="background1" w:themeShade="80"/>
        <w:sz w:val="18"/>
        <w:szCs w:val="20"/>
      </w:rPr>
      <w:t>s by the Texas Success Center from a template that was developed by the Community College Research Center</w:t>
    </w:r>
    <w:r w:rsidR="0099150A">
      <w:rPr>
        <w:rFonts w:ascii="Times" w:eastAsia="Times New Roman" w:hAnsi="Times" w:cs="Times New Roman"/>
        <w:color w:val="808080" w:themeColor="background1" w:themeShade="80"/>
        <w:sz w:val="18"/>
        <w:szCs w:val="20"/>
      </w:rPr>
      <w:t>, Aspen, Public Agenda</w:t>
    </w:r>
    <w:r w:rsidRPr="00944254">
      <w:rPr>
        <w:rFonts w:ascii="Times" w:eastAsia="Times New Roman" w:hAnsi="Times" w:cs="Times New Roman"/>
        <w:color w:val="808080" w:themeColor="background1" w:themeShade="80"/>
        <w:sz w:val="18"/>
        <w:szCs w:val="20"/>
      </w:rPr>
      <w:t xml:space="preserve"> and the American Association of Community Colleges’ Pathways Project, supported by the Bill and Melinda Gates Foundation.</w:t>
    </w:r>
  </w:p>
  <w:p w14:paraId="691A0393" w14:textId="77777777" w:rsidR="00944254" w:rsidRDefault="009442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4A924" w14:textId="77777777" w:rsidR="00245D04" w:rsidRDefault="00245D04" w:rsidP="003F5237">
      <w:pPr>
        <w:spacing w:after="0" w:line="240" w:lineRule="auto"/>
      </w:pPr>
      <w:r>
        <w:separator/>
      </w:r>
    </w:p>
  </w:footnote>
  <w:footnote w:type="continuationSeparator" w:id="0">
    <w:p w14:paraId="13E624FA" w14:textId="77777777" w:rsidR="00245D04" w:rsidRDefault="00245D04" w:rsidP="003F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734" w:type="dxa"/>
      <w:tblInd w:w="108" w:type="dxa"/>
      <w:tblBorders>
        <w:top w:val="none" w:sz="0" w:space="0" w:color="auto"/>
        <w:left w:val="none" w:sz="0" w:space="0" w:color="auto"/>
        <w:bottom w:val="single" w:sz="18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08"/>
      <w:gridCol w:w="4121"/>
      <w:gridCol w:w="3205"/>
    </w:tblGrid>
    <w:tr w:rsidR="00772314" w14:paraId="637C56A7" w14:textId="77777777" w:rsidTr="00EA6638">
      <w:trPr>
        <w:trHeight w:val="1364"/>
      </w:trPr>
      <w:tc>
        <w:tcPr>
          <w:tcW w:w="4408" w:type="dxa"/>
        </w:tcPr>
        <w:p w14:paraId="5F3E3336" w14:textId="4F9B8D67" w:rsidR="00772314" w:rsidRDefault="00944254" w:rsidP="003F5237">
          <w:pPr>
            <w:pStyle w:val="Header"/>
            <w:ind w:right="25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4985E025" wp14:editId="1F47423F">
                    <wp:simplePos x="0" y="0"/>
                    <wp:positionH relativeFrom="column">
                      <wp:posOffset>-18139</wp:posOffset>
                    </wp:positionH>
                    <wp:positionV relativeFrom="paragraph">
                      <wp:posOffset>803855</wp:posOffset>
                    </wp:positionV>
                    <wp:extent cx="6284264" cy="462722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84264" cy="4627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7F0F9D" w14:textId="77777777" w:rsidR="00944254" w:rsidRDefault="00944254" w:rsidP="00944254">
                                <w:pPr>
                                  <w:pStyle w:val="NoSpacing"/>
                                </w:pPr>
                                <w:r>
                                  <w:t>Advance Work for all Cadres of the Texas Pathways Institute #3.</w:t>
                                </w:r>
                              </w:p>
                              <w:p w14:paraId="2986DFF0" w14:textId="4CD03FAC" w:rsidR="00944254" w:rsidRPr="00811114" w:rsidRDefault="00944254" w:rsidP="00944254">
                                <w:pPr>
                                  <w:pStyle w:val="NoSpacing"/>
                                  <w:rPr>
                                    <w:color w:val="FF0000"/>
                                  </w:rPr>
                                </w:pPr>
                                <w:r w:rsidRPr="00811114">
                                  <w:rPr>
                                    <w:color w:val="FF0000"/>
                                  </w:rPr>
                                  <w:t xml:space="preserve">DUE: October </w:t>
                                </w:r>
                                <w:r w:rsidR="00713685">
                                  <w:rPr>
                                    <w:color w:val="FF0000"/>
                                  </w:rPr>
                                  <w:t>23</w:t>
                                </w:r>
                                <w:r w:rsidRPr="00811114">
                                  <w:rPr>
                                    <w:color w:val="FF0000"/>
                                  </w:rPr>
                                  <w:t>, 2017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85E025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.45pt;margin-top:63.3pt;width:494.8pt;height:3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" filled="f" stroked="f">
                    <v:textbox>
                      <w:txbxContent>
                        <w:p w14:paraId="547F0F9D" w14:textId="77777777" w:rsidR="00944254" w:rsidRDefault="00944254" w:rsidP="00944254">
                          <w:pPr>
                            <w:pStyle w:val="NoSpacing"/>
                          </w:pPr>
                          <w:r>
                            <w:t>Advance Work for all Cadres of the Texas Pathways Institute #3.</w:t>
                          </w:r>
                        </w:p>
                        <w:p w14:paraId="2986DFF0" w14:textId="4CD03FAC" w:rsidR="00944254" w:rsidRPr="00811114" w:rsidRDefault="00944254" w:rsidP="00944254">
                          <w:pPr>
                            <w:pStyle w:val="NoSpacing"/>
                            <w:rPr>
                              <w:color w:val="FF0000"/>
                            </w:rPr>
                          </w:pPr>
                          <w:r w:rsidRPr="00811114">
                            <w:rPr>
                              <w:color w:val="FF0000"/>
                            </w:rPr>
                            <w:t xml:space="preserve">DUE: October </w:t>
                          </w:r>
                          <w:r w:rsidR="00713685">
                            <w:rPr>
                              <w:color w:val="FF0000"/>
                            </w:rPr>
                            <w:t>23</w:t>
                          </w:r>
                          <w:r w:rsidRPr="00811114">
                            <w:rPr>
                              <w:color w:val="FF0000"/>
                            </w:rPr>
                            <w:t>, 2017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A6638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9BE01CD" wp14:editId="09A91967">
                <wp:simplePos x="0" y="0"/>
                <wp:positionH relativeFrom="margin">
                  <wp:posOffset>2100773</wp:posOffset>
                </wp:positionH>
                <wp:positionV relativeFrom="margin">
                  <wp:posOffset>2540</wp:posOffset>
                </wp:positionV>
                <wp:extent cx="739140" cy="687705"/>
                <wp:effectExtent l="0" t="0" r="0" b="0"/>
                <wp:wrapSquare wrapText="bothSides"/>
                <wp:docPr id="7" name="Picture 7" descr="PA_logo-4c-H.b9504e8064c548a4acb38819dd62fe4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A_logo-4c-H.b9504e8064c548a4acb38819dd62fe4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5106"/>
                        <a:stretch/>
                      </pic:blipFill>
                      <pic:spPr bwMode="auto">
                        <a:xfrm>
                          <a:off x="0" y="0"/>
                          <a:ext cx="73914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53640926-AAD7-44d8-BBD7-CCE9431645EC}">
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3E399C">
            <w:rPr>
              <w:noProof/>
            </w:rPr>
            <w:drawing>
              <wp:inline distT="0" distB="0" distL="0" distR="0" wp14:anchorId="4C2099F4" wp14:editId="19BF11C4">
                <wp:extent cx="1441207" cy="574040"/>
                <wp:effectExtent l="0" t="0" r="6985" b="1016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xas Success Center horizontal 1 PMS.eps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9333" cy="5772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1" w:type="dxa"/>
        </w:tcPr>
        <w:p w14:paraId="703F9766" w14:textId="4C01ACC7" w:rsidR="00772314" w:rsidRDefault="00772314" w:rsidP="003F523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4BB59B" wp14:editId="2487D8F8">
                <wp:simplePos x="0" y="0"/>
                <wp:positionH relativeFrom="margin">
                  <wp:posOffset>615702</wp:posOffset>
                </wp:positionH>
                <wp:positionV relativeFrom="margin">
                  <wp:posOffset>115570</wp:posOffset>
                </wp:positionV>
                <wp:extent cx="1769110" cy="591820"/>
                <wp:effectExtent l="0" t="0" r="8890" b="0"/>
                <wp:wrapSquare wrapText="bothSides"/>
                <wp:docPr id="12" name="Picture 12" descr="ccrc_logo__lar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crc_logo__large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044" b="33471"/>
                        <a:stretch/>
                      </pic:blipFill>
                      <pic:spPr bwMode="auto">
                        <a:xfrm>
                          <a:off x="0" y="0"/>
                          <a:ext cx="176911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53640926-AAD7-44d8-BBD7-CCE9431645EC}">
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05" w:type="dxa"/>
        </w:tcPr>
        <w:p w14:paraId="5B8BC15E" w14:textId="77777777" w:rsidR="00944254" w:rsidRDefault="00944254" w:rsidP="003F5237">
          <w:pPr>
            <w:pStyle w:val="Header"/>
          </w:pPr>
        </w:p>
        <w:p w14:paraId="1B862591" w14:textId="77777777" w:rsidR="00944254" w:rsidRDefault="00944254" w:rsidP="003F5237">
          <w:pPr>
            <w:pStyle w:val="Header"/>
          </w:pPr>
        </w:p>
        <w:p w14:paraId="045BED2B" w14:textId="77777777" w:rsidR="00944254" w:rsidRDefault="00944254" w:rsidP="003F5237">
          <w:pPr>
            <w:pStyle w:val="Header"/>
          </w:pPr>
        </w:p>
        <w:p w14:paraId="55A634A8" w14:textId="77777777" w:rsidR="00944254" w:rsidRDefault="00944254" w:rsidP="003F5237">
          <w:pPr>
            <w:pStyle w:val="Header"/>
          </w:pPr>
        </w:p>
        <w:p w14:paraId="643EE70C" w14:textId="77777777" w:rsidR="00944254" w:rsidRDefault="00944254" w:rsidP="003F5237">
          <w:pPr>
            <w:pStyle w:val="Header"/>
          </w:pPr>
        </w:p>
        <w:p w14:paraId="5C32A547" w14:textId="77777777" w:rsidR="00944254" w:rsidRDefault="00944254" w:rsidP="003F5237">
          <w:pPr>
            <w:pStyle w:val="Header"/>
          </w:pPr>
        </w:p>
        <w:p w14:paraId="52A01CC3" w14:textId="338578E2" w:rsidR="00772314" w:rsidRDefault="00772314" w:rsidP="003F523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DE03B39" wp14:editId="15478BF1">
                <wp:simplePos x="0" y="0"/>
                <wp:positionH relativeFrom="margin">
                  <wp:posOffset>356401</wp:posOffset>
                </wp:positionH>
                <wp:positionV relativeFrom="margin">
                  <wp:posOffset>0</wp:posOffset>
                </wp:positionV>
                <wp:extent cx="836930" cy="836930"/>
                <wp:effectExtent l="0" t="0" r="1270" b="1270"/>
                <wp:wrapSquare wrapText="bothSides"/>
                <wp:docPr id="13" name="Picture 13" descr="t-_nn-7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-_nn-74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5B59BFD" w14:textId="5F2473B6" w:rsidR="00772314" w:rsidRPr="003F5237" w:rsidRDefault="00772314" w:rsidP="003F523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8DE5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F7388"/>
    <w:multiLevelType w:val="hybridMultilevel"/>
    <w:tmpl w:val="E66E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51F1"/>
    <w:multiLevelType w:val="hybridMultilevel"/>
    <w:tmpl w:val="DC56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20A9"/>
    <w:multiLevelType w:val="hybridMultilevel"/>
    <w:tmpl w:val="6374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B4ABA"/>
    <w:multiLevelType w:val="hybridMultilevel"/>
    <w:tmpl w:val="FBF2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F4F31"/>
    <w:multiLevelType w:val="hybridMultilevel"/>
    <w:tmpl w:val="9694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01A1F"/>
    <w:multiLevelType w:val="hybridMultilevel"/>
    <w:tmpl w:val="74C87D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EA276F4"/>
    <w:multiLevelType w:val="hybridMultilevel"/>
    <w:tmpl w:val="BFE2D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23129"/>
    <w:multiLevelType w:val="hybridMultilevel"/>
    <w:tmpl w:val="BFE2D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B660E"/>
    <w:multiLevelType w:val="hybridMultilevel"/>
    <w:tmpl w:val="E922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E6CAB"/>
    <w:multiLevelType w:val="hybridMultilevel"/>
    <w:tmpl w:val="60D67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F4C34"/>
    <w:multiLevelType w:val="hybridMultilevel"/>
    <w:tmpl w:val="68AE70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A0A6441"/>
    <w:multiLevelType w:val="hybridMultilevel"/>
    <w:tmpl w:val="DCE00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A78E3"/>
    <w:multiLevelType w:val="hybridMultilevel"/>
    <w:tmpl w:val="A6AC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13FDD"/>
    <w:multiLevelType w:val="hybridMultilevel"/>
    <w:tmpl w:val="6404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E5E7D"/>
    <w:multiLevelType w:val="hybridMultilevel"/>
    <w:tmpl w:val="5BECC7E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D200571"/>
    <w:multiLevelType w:val="hybridMultilevel"/>
    <w:tmpl w:val="C478A23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DEB0523"/>
    <w:multiLevelType w:val="hybridMultilevel"/>
    <w:tmpl w:val="6FC4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C7346"/>
    <w:multiLevelType w:val="hybridMultilevel"/>
    <w:tmpl w:val="4A52C2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0EE1076"/>
    <w:multiLevelType w:val="hybridMultilevel"/>
    <w:tmpl w:val="7CC4E2A8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522E66E3"/>
    <w:multiLevelType w:val="hybridMultilevel"/>
    <w:tmpl w:val="C746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919F5"/>
    <w:multiLevelType w:val="hybridMultilevel"/>
    <w:tmpl w:val="FE465E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04F7D88"/>
    <w:multiLevelType w:val="hybridMultilevel"/>
    <w:tmpl w:val="5EF8A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F7411C"/>
    <w:multiLevelType w:val="hybridMultilevel"/>
    <w:tmpl w:val="04B4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D11B8"/>
    <w:multiLevelType w:val="hybridMultilevel"/>
    <w:tmpl w:val="F8E62B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4"/>
  </w:num>
  <w:num w:numId="5">
    <w:abstractNumId w:val="2"/>
  </w:num>
  <w:num w:numId="6">
    <w:abstractNumId w:val="14"/>
  </w:num>
  <w:num w:numId="7">
    <w:abstractNumId w:val="22"/>
  </w:num>
  <w:num w:numId="8">
    <w:abstractNumId w:val="9"/>
  </w:num>
  <w:num w:numId="9">
    <w:abstractNumId w:val="13"/>
  </w:num>
  <w:num w:numId="10">
    <w:abstractNumId w:val="17"/>
  </w:num>
  <w:num w:numId="11">
    <w:abstractNumId w:val="3"/>
  </w:num>
  <w:num w:numId="12">
    <w:abstractNumId w:val="24"/>
  </w:num>
  <w:num w:numId="13">
    <w:abstractNumId w:val="6"/>
  </w:num>
  <w:num w:numId="14">
    <w:abstractNumId w:val="21"/>
  </w:num>
  <w:num w:numId="15">
    <w:abstractNumId w:val="15"/>
  </w:num>
  <w:num w:numId="16">
    <w:abstractNumId w:val="11"/>
  </w:num>
  <w:num w:numId="17">
    <w:abstractNumId w:val="23"/>
  </w:num>
  <w:num w:numId="18">
    <w:abstractNumId w:val="19"/>
  </w:num>
  <w:num w:numId="19">
    <w:abstractNumId w:val="10"/>
  </w:num>
  <w:num w:numId="20">
    <w:abstractNumId w:val="16"/>
  </w:num>
  <w:num w:numId="21">
    <w:abstractNumId w:val="18"/>
  </w:num>
  <w:num w:numId="22">
    <w:abstractNumId w:val="12"/>
  </w:num>
  <w:num w:numId="23">
    <w:abstractNumId w:val="1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formatting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14"/>
    <w:rsid w:val="00004A18"/>
    <w:rsid w:val="0001018B"/>
    <w:rsid w:val="000307E5"/>
    <w:rsid w:val="00045CCA"/>
    <w:rsid w:val="00061325"/>
    <w:rsid w:val="00083463"/>
    <w:rsid w:val="000A6B90"/>
    <w:rsid w:val="000B3D9B"/>
    <w:rsid w:val="000C73C6"/>
    <w:rsid w:val="000D3F2E"/>
    <w:rsid w:val="000E4232"/>
    <w:rsid w:val="000E6A60"/>
    <w:rsid w:val="000F37DA"/>
    <w:rsid w:val="001078A4"/>
    <w:rsid w:val="00125A35"/>
    <w:rsid w:val="00133BAF"/>
    <w:rsid w:val="00135857"/>
    <w:rsid w:val="00136167"/>
    <w:rsid w:val="00147637"/>
    <w:rsid w:val="00151F12"/>
    <w:rsid w:val="00182705"/>
    <w:rsid w:val="00190779"/>
    <w:rsid w:val="001A48D0"/>
    <w:rsid w:val="001A55FD"/>
    <w:rsid w:val="001F2086"/>
    <w:rsid w:val="00207FEB"/>
    <w:rsid w:val="002458A2"/>
    <w:rsid w:val="00245D04"/>
    <w:rsid w:val="00245F36"/>
    <w:rsid w:val="00253FAC"/>
    <w:rsid w:val="00262D78"/>
    <w:rsid w:val="002B18BE"/>
    <w:rsid w:val="002B22A1"/>
    <w:rsid w:val="002C64AE"/>
    <w:rsid w:val="002D5C93"/>
    <w:rsid w:val="002E16AA"/>
    <w:rsid w:val="00300A56"/>
    <w:rsid w:val="00304855"/>
    <w:rsid w:val="00304988"/>
    <w:rsid w:val="0030624B"/>
    <w:rsid w:val="0031011D"/>
    <w:rsid w:val="003102B3"/>
    <w:rsid w:val="003330F4"/>
    <w:rsid w:val="00334937"/>
    <w:rsid w:val="003420FB"/>
    <w:rsid w:val="00347E04"/>
    <w:rsid w:val="00357132"/>
    <w:rsid w:val="00381FC0"/>
    <w:rsid w:val="00390A98"/>
    <w:rsid w:val="003929E3"/>
    <w:rsid w:val="003A4BED"/>
    <w:rsid w:val="003A5D71"/>
    <w:rsid w:val="003A627A"/>
    <w:rsid w:val="003B52C7"/>
    <w:rsid w:val="003C40C1"/>
    <w:rsid w:val="003C4D4B"/>
    <w:rsid w:val="003C7CCF"/>
    <w:rsid w:val="003E399C"/>
    <w:rsid w:val="003F1EDD"/>
    <w:rsid w:val="003F5237"/>
    <w:rsid w:val="004021F7"/>
    <w:rsid w:val="00421CF6"/>
    <w:rsid w:val="00431F81"/>
    <w:rsid w:val="00435017"/>
    <w:rsid w:val="00437D2A"/>
    <w:rsid w:val="00440C41"/>
    <w:rsid w:val="00446B4B"/>
    <w:rsid w:val="00452A2F"/>
    <w:rsid w:val="0045595C"/>
    <w:rsid w:val="00467A55"/>
    <w:rsid w:val="004757EB"/>
    <w:rsid w:val="004B5DFE"/>
    <w:rsid w:val="004B61A7"/>
    <w:rsid w:val="004B7259"/>
    <w:rsid w:val="004C2CC5"/>
    <w:rsid w:val="004D16A9"/>
    <w:rsid w:val="004D25F3"/>
    <w:rsid w:val="004D379C"/>
    <w:rsid w:val="004E6F56"/>
    <w:rsid w:val="00501163"/>
    <w:rsid w:val="005013BF"/>
    <w:rsid w:val="00502CA8"/>
    <w:rsid w:val="00504448"/>
    <w:rsid w:val="005109FA"/>
    <w:rsid w:val="00514E86"/>
    <w:rsid w:val="005250DD"/>
    <w:rsid w:val="005404AF"/>
    <w:rsid w:val="0054571D"/>
    <w:rsid w:val="00545921"/>
    <w:rsid w:val="00555C69"/>
    <w:rsid w:val="00564ED2"/>
    <w:rsid w:val="00574876"/>
    <w:rsid w:val="00587B48"/>
    <w:rsid w:val="00591F99"/>
    <w:rsid w:val="005B52E9"/>
    <w:rsid w:val="005D6B54"/>
    <w:rsid w:val="005E44FF"/>
    <w:rsid w:val="005E49E3"/>
    <w:rsid w:val="005E63CE"/>
    <w:rsid w:val="0061263F"/>
    <w:rsid w:val="00615529"/>
    <w:rsid w:val="006226C8"/>
    <w:rsid w:val="00641037"/>
    <w:rsid w:val="00650DCE"/>
    <w:rsid w:val="00662F5E"/>
    <w:rsid w:val="00683A44"/>
    <w:rsid w:val="006951F1"/>
    <w:rsid w:val="006D5549"/>
    <w:rsid w:val="006F12CF"/>
    <w:rsid w:val="006F3B39"/>
    <w:rsid w:val="006F76CF"/>
    <w:rsid w:val="00700E4E"/>
    <w:rsid w:val="00712822"/>
    <w:rsid w:val="00713685"/>
    <w:rsid w:val="00722C7A"/>
    <w:rsid w:val="00731240"/>
    <w:rsid w:val="00732126"/>
    <w:rsid w:val="00732C99"/>
    <w:rsid w:val="00734993"/>
    <w:rsid w:val="00735258"/>
    <w:rsid w:val="00741797"/>
    <w:rsid w:val="007471C0"/>
    <w:rsid w:val="00772314"/>
    <w:rsid w:val="00775F1C"/>
    <w:rsid w:val="0077605F"/>
    <w:rsid w:val="00784E7D"/>
    <w:rsid w:val="00791081"/>
    <w:rsid w:val="007A3767"/>
    <w:rsid w:val="007C69A9"/>
    <w:rsid w:val="007E4E99"/>
    <w:rsid w:val="00811114"/>
    <w:rsid w:val="00816717"/>
    <w:rsid w:val="0083330C"/>
    <w:rsid w:val="00872693"/>
    <w:rsid w:val="00875724"/>
    <w:rsid w:val="00884A37"/>
    <w:rsid w:val="00886A56"/>
    <w:rsid w:val="00887236"/>
    <w:rsid w:val="00891C7D"/>
    <w:rsid w:val="008A61E4"/>
    <w:rsid w:val="008B3D6D"/>
    <w:rsid w:val="008E5620"/>
    <w:rsid w:val="008E6FF3"/>
    <w:rsid w:val="00914340"/>
    <w:rsid w:val="0092442C"/>
    <w:rsid w:val="00944254"/>
    <w:rsid w:val="0094744A"/>
    <w:rsid w:val="0095481C"/>
    <w:rsid w:val="00961B05"/>
    <w:rsid w:val="009629F9"/>
    <w:rsid w:val="009642CC"/>
    <w:rsid w:val="0099150A"/>
    <w:rsid w:val="009A2AFA"/>
    <w:rsid w:val="009A3E90"/>
    <w:rsid w:val="009C5698"/>
    <w:rsid w:val="009D4099"/>
    <w:rsid w:val="009E289F"/>
    <w:rsid w:val="009E297C"/>
    <w:rsid w:val="009F1AE9"/>
    <w:rsid w:val="009F7C62"/>
    <w:rsid w:val="00A11364"/>
    <w:rsid w:val="00A122E5"/>
    <w:rsid w:val="00A20ACA"/>
    <w:rsid w:val="00A324AA"/>
    <w:rsid w:val="00A328BC"/>
    <w:rsid w:val="00A37374"/>
    <w:rsid w:val="00A41A9C"/>
    <w:rsid w:val="00A51B2E"/>
    <w:rsid w:val="00A607CE"/>
    <w:rsid w:val="00A7422A"/>
    <w:rsid w:val="00A920E8"/>
    <w:rsid w:val="00A949DD"/>
    <w:rsid w:val="00A97C40"/>
    <w:rsid w:val="00AA5926"/>
    <w:rsid w:val="00AA687C"/>
    <w:rsid w:val="00AB34A9"/>
    <w:rsid w:val="00AB678E"/>
    <w:rsid w:val="00AC467E"/>
    <w:rsid w:val="00AD1B10"/>
    <w:rsid w:val="00AD51A4"/>
    <w:rsid w:val="00AE1155"/>
    <w:rsid w:val="00AE1BB7"/>
    <w:rsid w:val="00B20193"/>
    <w:rsid w:val="00B2155B"/>
    <w:rsid w:val="00B34339"/>
    <w:rsid w:val="00B37F2F"/>
    <w:rsid w:val="00B44070"/>
    <w:rsid w:val="00B60314"/>
    <w:rsid w:val="00B81F6D"/>
    <w:rsid w:val="00B82383"/>
    <w:rsid w:val="00B85EC3"/>
    <w:rsid w:val="00B90F2E"/>
    <w:rsid w:val="00B951D4"/>
    <w:rsid w:val="00B9733A"/>
    <w:rsid w:val="00BA58BC"/>
    <w:rsid w:val="00BC083F"/>
    <w:rsid w:val="00BC58C3"/>
    <w:rsid w:val="00BF0F7F"/>
    <w:rsid w:val="00C0729D"/>
    <w:rsid w:val="00C4690C"/>
    <w:rsid w:val="00C65C59"/>
    <w:rsid w:val="00C67DAD"/>
    <w:rsid w:val="00C81BA6"/>
    <w:rsid w:val="00C87E78"/>
    <w:rsid w:val="00C90E1B"/>
    <w:rsid w:val="00C965A0"/>
    <w:rsid w:val="00C97956"/>
    <w:rsid w:val="00CA3234"/>
    <w:rsid w:val="00CB0D47"/>
    <w:rsid w:val="00CB490C"/>
    <w:rsid w:val="00CC58AC"/>
    <w:rsid w:val="00CF5C8B"/>
    <w:rsid w:val="00D123A1"/>
    <w:rsid w:val="00D13167"/>
    <w:rsid w:val="00D14D7F"/>
    <w:rsid w:val="00D411BE"/>
    <w:rsid w:val="00D46218"/>
    <w:rsid w:val="00D5379A"/>
    <w:rsid w:val="00D66E62"/>
    <w:rsid w:val="00D671D6"/>
    <w:rsid w:val="00D91659"/>
    <w:rsid w:val="00D92E08"/>
    <w:rsid w:val="00D938AC"/>
    <w:rsid w:val="00D95D34"/>
    <w:rsid w:val="00DB0D30"/>
    <w:rsid w:val="00DD284B"/>
    <w:rsid w:val="00DD3D6B"/>
    <w:rsid w:val="00DD6DBB"/>
    <w:rsid w:val="00E00093"/>
    <w:rsid w:val="00E02099"/>
    <w:rsid w:val="00E1262A"/>
    <w:rsid w:val="00E4620A"/>
    <w:rsid w:val="00E56CAF"/>
    <w:rsid w:val="00E61E14"/>
    <w:rsid w:val="00E63BB4"/>
    <w:rsid w:val="00E64D6B"/>
    <w:rsid w:val="00E71B9B"/>
    <w:rsid w:val="00E743E5"/>
    <w:rsid w:val="00E751B1"/>
    <w:rsid w:val="00EA6638"/>
    <w:rsid w:val="00EA78DC"/>
    <w:rsid w:val="00EB65B7"/>
    <w:rsid w:val="00ED3CDE"/>
    <w:rsid w:val="00EE06BA"/>
    <w:rsid w:val="00EF397F"/>
    <w:rsid w:val="00F03863"/>
    <w:rsid w:val="00F15B70"/>
    <w:rsid w:val="00F511A1"/>
    <w:rsid w:val="00F702E9"/>
    <w:rsid w:val="00F922A4"/>
    <w:rsid w:val="00F97B87"/>
    <w:rsid w:val="00FA0D3C"/>
    <w:rsid w:val="00FA4B25"/>
    <w:rsid w:val="00FA6709"/>
    <w:rsid w:val="00FB1AAF"/>
    <w:rsid w:val="00FB37ED"/>
    <w:rsid w:val="00FC56C4"/>
    <w:rsid w:val="00FD3A00"/>
    <w:rsid w:val="00FF3CC2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30B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1A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A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A9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A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A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9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37"/>
  </w:style>
  <w:style w:type="paragraph" w:styleId="Footer">
    <w:name w:val="footer"/>
    <w:basedOn w:val="Normal"/>
    <w:link w:val="FooterChar"/>
    <w:uiPriority w:val="99"/>
    <w:unhideWhenUsed/>
    <w:rsid w:val="003F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37"/>
  </w:style>
  <w:style w:type="table" w:styleId="TableGrid">
    <w:name w:val="Table Grid"/>
    <w:basedOn w:val="TableNormal"/>
    <w:uiPriority w:val="59"/>
    <w:rsid w:val="003F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471C0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unhideWhenUsed/>
    <w:rsid w:val="000D3F2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3F2E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0D3F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5C6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0624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7231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4592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592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45921"/>
    <w:rPr>
      <w:vertAlign w:val="superscript"/>
    </w:rPr>
  </w:style>
  <w:style w:type="paragraph" w:styleId="NoSpacing">
    <w:name w:val="No Spacing"/>
    <w:uiPriority w:val="1"/>
    <w:qFormat/>
    <w:rsid w:val="00262D78"/>
    <w:pPr>
      <w:spacing w:after="0" w:line="240" w:lineRule="auto"/>
    </w:pPr>
  </w:style>
  <w:style w:type="character" w:customStyle="1" w:styleId="mainheader">
    <w:name w:val="mainheader"/>
    <w:basedOn w:val="DefaultParagraphFont"/>
    <w:rsid w:val="00662F5E"/>
  </w:style>
  <w:style w:type="paragraph" w:styleId="DocumentMap">
    <w:name w:val="Document Map"/>
    <w:basedOn w:val="Normal"/>
    <w:link w:val="DocumentMapChar"/>
    <w:uiPriority w:val="99"/>
    <w:semiHidden/>
    <w:unhideWhenUsed/>
    <w:rsid w:val="007136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36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higheredaccountability.org/acctpublic/" TargetMode="External"/><Relationship Id="rId12" Type="http://schemas.openxmlformats.org/officeDocument/2006/relationships/hyperlink" Target="http://ccrc.tc.columbia.edu/media/k2/attachments/tracking-transfer-institutional-state-effectiveness.pdf" TargetMode="External"/><Relationship Id="rId13" Type="http://schemas.openxmlformats.org/officeDocument/2006/relationships/hyperlink" Target="http://www.txhighereddata.org/reports/performance/ctctransfer/" TargetMode="External"/><Relationship Id="rId14" Type="http://schemas.openxmlformats.org/officeDocument/2006/relationships/hyperlink" Target="http://www.txhighereddata.org/reports/performance/ctctransfer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xhigheredaccountability.org/acctpublic/" TargetMode="External"/><Relationship Id="rId9" Type="http://schemas.openxmlformats.org/officeDocument/2006/relationships/hyperlink" Target="http://www.txhighereddata.org/reports/performance/ctctransfer/" TargetMode="External"/><Relationship Id="rId10" Type="http://schemas.openxmlformats.org/officeDocument/2006/relationships/hyperlink" Target="http://www.txhighereddata.org/reports/performance/ctctransfe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E77980-DFB5-B242-8994-818E31E8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1275</Words>
  <Characters>6619</Characters>
  <Application>Microsoft Macintosh Word</Application>
  <DocSecurity>0</DocSecurity>
  <Lines>551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</dc:creator>
  <cp:lastModifiedBy>Raquel Garza</cp:lastModifiedBy>
  <cp:revision>4</cp:revision>
  <cp:lastPrinted>2016-02-22T15:20:00Z</cp:lastPrinted>
  <dcterms:created xsi:type="dcterms:W3CDTF">2017-08-25T13:38:00Z</dcterms:created>
  <dcterms:modified xsi:type="dcterms:W3CDTF">2017-08-26T02:34:00Z</dcterms:modified>
</cp:coreProperties>
</file>