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051" w:rsidRPr="00244BA2" w:rsidRDefault="002F2051" w:rsidP="002F2051">
      <w:pPr>
        <w:rPr>
          <w:rFonts w:ascii="Arial" w:hAnsi="Arial" w:cs="Arial"/>
          <w:b/>
          <w:color w:val="003C71" w:themeColor="text1"/>
        </w:rPr>
      </w:pPr>
      <w:r w:rsidRPr="00244BA2">
        <w:rPr>
          <w:rFonts w:ascii="Arial" w:hAnsi="Arial" w:cs="Arial"/>
          <w:b/>
          <w:color w:val="003C71" w:themeColor="text1"/>
        </w:rPr>
        <w:t xml:space="preserve">College: </w:t>
      </w:r>
    </w:p>
    <w:p w:rsidR="002F2051" w:rsidRPr="00244BA2" w:rsidRDefault="002F2051" w:rsidP="002F2051">
      <w:pPr>
        <w:rPr>
          <w:rFonts w:ascii="Arial" w:hAnsi="Arial" w:cs="Arial"/>
          <w:b/>
          <w:color w:val="003C71" w:themeColor="text1"/>
        </w:rPr>
      </w:pPr>
    </w:p>
    <w:p w:rsidR="007B27E7" w:rsidRPr="00244BA2" w:rsidRDefault="00B64AAD" w:rsidP="002A11D8">
      <w:pPr>
        <w:jc w:val="center"/>
        <w:rPr>
          <w:rFonts w:ascii="Arial" w:hAnsi="Arial" w:cs="Arial"/>
          <w:b/>
          <w:color w:val="003C71" w:themeColor="text1"/>
        </w:rPr>
      </w:pPr>
      <w:r w:rsidRPr="00244BA2">
        <w:rPr>
          <w:rFonts w:ascii="Arial" w:hAnsi="Arial" w:cs="Arial"/>
          <w:b/>
          <w:color w:val="003C71" w:themeColor="text1"/>
        </w:rPr>
        <w:t>Community College Survey of Student Engagement</w:t>
      </w:r>
    </w:p>
    <w:p w:rsidR="00B64AAD" w:rsidRPr="00244BA2" w:rsidRDefault="00DD3782" w:rsidP="002A11D8">
      <w:pPr>
        <w:jc w:val="center"/>
        <w:rPr>
          <w:rFonts w:ascii="Arial" w:hAnsi="Arial" w:cs="Arial"/>
          <w:b/>
          <w:color w:val="003C71" w:themeColor="text1"/>
        </w:rPr>
      </w:pPr>
      <w:r w:rsidRPr="00244BA2">
        <w:rPr>
          <w:rFonts w:ascii="Arial" w:hAnsi="Arial" w:cs="Arial"/>
          <w:b/>
          <w:color w:val="003C71" w:themeColor="text1"/>
        </w:rPr>
        <w:t>2005</w:t>
      </w:r>
      <w:r w:rsidR="00B64AAD" w:rsidRPr="00244BA2">
        <w:rPr>
          <w:rFonts w:ascii="Arial" w:hAnsi="Arial" w:cs="Arial"/>
          <w:b/>
          <w:color w:val="003C71" w:themeColor="text1"/>
        </w:rPr>
        <w:t>–</w:t>
      </w:r>
      <w:r w:rsidRPr="00244BA2">
        <w:rPr>
          <w:rFonts w:ascii="Arial" w:hAnsi="Arial" w:cs="Arial"/>
          <w:b/>
          <w:color w:val="003C71" w:themeColor="text1"/>
        </w:rPr>
        <w:t>2016</w:t>
      </w:r>
      <w:r w:rsidR="00B64AAD" w:rsidRPr="00244BA2">
        <w:rPr>
          <w:rFonts w:ascii="Arial" w:hAnsi="Arial" w:cs="Arial"/>
          <w:b/>
          <w:color w:val="003C71" w:themeColor="text1"/>
        </w:rPr>
        <w:t xml:space="preserve"> Administration</w:t>
      </w:r>
    </w:p>
    <w:p w:rsidR="008613E9" w:rsidRPr="00244BA2" w:rsidRDefault="008613E9" w:rsidP="002A11D8">
      <w:pPr>
        <w:jc w:val="center"/>
        <w:rPr>
          <w:rFonts w:ascii="Arial" w:hAnsi="Arial" w:cs="Arial"/>
          <w:b/>
          <w:color w:val="003C71" w:themeColor="text1"/>
        </w:rPr>
      </w:pPr>
    </w:p>
    <w:p w:rsidR="00541FEE" w:rsidRPr="00244BA2" w:rsidRDefault="00541FEE" w:rsidP="008613E9">
      <w:pPr>
        <w:rPr>
          <w:rFonts w:ascii="Arial" w:hAnsi="Arial" w:cs="Arial"/>
          <w:b/>
          <w:color w:val="003C71" w:themeColor="text1"/>
        </w:rPr>
      </w:pPr>
      <w:r w:rsidRPr="00244BA2">
        <w:rPr>
          <w:rFonts w:ascii="Arial" w:hAnsi="Arial" w:cs="Arial"/>
          <w:b/>
          <w:color w:val="003C71" w:themeColor="text1"/>
        </w:rPr>
        <w:t>Instructions</w:t>
      </w:r>
    </w:p>
    <w:p w:rsidR="00541FEE" w:rsidRPr="00244BA2" w:rsidRDefault="008613E9" w:rsidP="00541FEE">
      <w:pPr>
        <w:pStyle w:val="ListParagraph"/>
        <w:numPr>
          <w:ilvl w:val="0"/>
          <w:numId w:val="2"/>
        </w:numPr>
        <w:rPr>
          <w:rFonts w:ascii="Arial" w:hAnsi="Arial" w:cs="Arial"/>
          <w:color w:val="003C71" w:themeColor="text1"/>
        </w:rPr>
      </w:pPr>
      <w:r w:rsidRPr="00244BA2">
        <w:rPr>
          <w:rFonts w:ascii="Arial" w:hAnsi="Arial" w:cs="Arial"/>
          <w:color w:val="003C71" w:themeColor="text1"/>
        </w:rPr>
        <w:t>Retrieve your college’s most recent results from the Community College Survey of Student Engagement (CCSSE)</w:t>
      </w:r>
      <w:r w:rsidR="002C145B" w:rsidRPr="00244BA2">
        <w:rPr>
          <w:rFonts w:ascii="Arial" w:hAnsi="Arial" w:cs="Arial"/>
          <w:color w:val="003C71" w:themeColor="text1"/>
        </w:rPr>
        <w:t>.  E</w:t>
      </w:r>
      <w:r w:rsidRPr="00244BA2">
        <w:rPr>
          <w:rFonts w:ascii="Arial" w:hAnsi="Arial" w:cs="Arial"/>
          <w:color w:val="003C71" w:themeColor="text1"/>
        </w:rPr>
        <w:t>nter the requested numbers in the white boxes to the left of the corresponding statement.</w:t>
      </w:r>
      <w:r w:rsidR="00180BFB" w:rsidRPr="00244BA2">
        <w:rPr>
          <w:rFonts w:ascii="Arial" w:hAnsi="Arial" w:cs="Arial"/>
          <w:color w:val="003C71" w:themeColor="text1"/>
        </w:rPr>
        <w:t xml:space="preserve">  </w:t>
      </w:r>
    </w:p>
    <w:p w:rsidR="00541FEE" w:rsidRPr="00244BA2" w:rsidRDefault="00180BFB" w:rsidP="00541FEE">
      <w:pPr>
        <w:pStyle w:val="ListParagraph"/>
        <w:numPr>
          <w:ilvl w:val="0"/>
          <w:numId w:val="2"/>
        </w:numPr>
        <w:rPr>
          <w:rFonts w:ascii="Arial" w:hAnsi="Arial" w:cs="Arial"/>
          <w:color w:val="003C71" w:themeColor="text1"/>
        </w:rPr>
      </w:pPr>
      <w:r w:rsidRPr="00244BA2">
        <w:rPr>
          <w:rFonts w:ascii="Arial" w:hAnsi="Arial" w:cs="Arial"/>
          <w:color w:val="003C71" w:themeColor="text1"/>
        </w:rPr>
        <w:t xml:space="preserve">Review the data for each section and discuss with your pathways team which data are most surprising.  Research the disaggregated results from the CCSSE report to get a more detailed understanding of student experiences.  </w:t>
      </w:r>
    </w:p>
    <w:p w:rsidR="008613E9" w:rsidRPr="00244BA2" w:rsidRDefault="00180BFB" w:rsidP="00541FEE">
      <w:pPr>
        <w:pStyle w:val="ListParagraph"/>
        <w:numPr>
          <w:ilvl w:val="0"/>
          <w:numId w:val="2"/>
        </w:numPr>
        <w:rPr>
          <w:rFonts w:ascii="Arial" w:hAnsi="Arial" w:cs="Arial"/>
          <w:color w:val="003C71" w:themeColor="text1"/>
        </w:rPr>
      </w:pPr>
      <w:r w:rsidRPr="00244BA2">
        <w:rPr>
          <w:rFonts w:ascii="Arial" w:hAnsi="Arial" w:cs="Arial"/>
          <w:color w:val="003C71" w:themeColor="text1"/>
        </w:rPr>
        <w:t xml:space="preserve">In the </w:t>
      </w:r>
      <w:r w:rsidR="00541FEE" w:rsidRPr="00244BA2">
        <w:rPr>
          <w:rFonts w:ascii="Arial" w:hAnsi="Arial" w:cs="Arial"/>
          <w:color w:val="003C71" w:themeColor="text1"/>
        </w:rPr>
        <w:t>white box below “Most surprising data and disaggreg</w:t>
      </w:r>
      <w:bookmarkStart w:id="0" w:name="_GoBack"/>
      <w:bookmarkEnd w:id="0"/>
      <w:r w:rsidR="00541FEE" w:rsidRPr="00244BA2">
        <w:rPr>
          <w:rFonts w:ascii="Arial" w:hAnsi="Arial" w:cs="Arial"/>
          <w:color w:val="003C71" w:themeColor="text1"/>
        </w:rPr>
        <w:t>ated results</w:t>
      </w:r>
      <w:r w:rsidRPr="00244BA2">
        <w:rPr>
          <w:rFonts w:ascii="Arial" w:hAnsi="Arial" w:cs="Arial"/>
          <w:color w:val="003C71" w:themeColor="text1"/>
        </w:rPr>
        <w:t>,</w:t>
      </w:r>
      <w:r w:rsidR="00541FEE" w:rsidRPr="00244BA2">
        <w:rPr>
          <w:rFonts w:ascii="Arial" w:hAnsi="Arial" w:cs="Arial"/>
          <w:color w:val="003C71" w:themeColor="text1"/>
        </w:rPr>
        <w:t>”</w:t>
      </w:r>
      <w:r w:rsidR="007626DE" w:rsidRPr="00244BA2">
        <w:rPr>
          <w:rFonts w:ascii="Arial" w:hAnsi="Arial" w:cs="Arial"/>
          <w:color w:val="003C71" w:themeColor="text1"/>
        </w:rPr>
        <w:t xml:space="preserve"> indicate</w:t>
      </w:r>
      <w:r w:rsidRPr="00244BA2">
        <w:rPr>
          <w:rFonts w:ascii="Arial" w:hAnsi="Arial" w:cs="Arial"/>
          <w:color w:val="003C71" w:themeColor="text1"/>
        </w:rPr>
        <w:t xml:space="preserve"> wh</w:t>
      </w:r>
      <w:r w:rsidR="00541FEE" w:rsidRPr="00244BA2">
        <w:rPr>
          <w:rFonts w:ascii="Arial" w:hAnsi="Arial" w:cs="Arial"/>
          <w:color w:val="003C71" w:themeColor="text1"/>
        </w:rPr>
        <w:t>ich</w:t>
      </w:r>
      <w:r w:rsidRPr="00244BA2">
        <w:rPr>
          <w:rFonts w:ascii="Arial" w:hAnsi="Arial" w:cs="Arial"/>
          <w:color w:val="003C71" w:themeColor="text1"/>
        </w:rPr>
        <w:t xml:space="preserve"> data surprised you and what the disaggregated data revealed.  In the column titled “</w:t>
      </w:r>
      <w:r w:rsidR="00541FEE" w:rsidRPr="00244BA2">
        <w:rPr>
          <w:rFonts w:ascii="Arial" w:hAnsi="Arial" w:cs="Arial"/>
          <w:color w:val="003C71" w:themeColor="text1"/>
        </w:rPr>
        <w:t>S</w:t>
      </w:r>
      <w:r w:rsidRPr="00244BA2">
        <w:rPr>
          <w:rFonts w:ascii="Arial" w:hAnsi="Arial" w:cs="Arial"/>
          <w:color w:val="003C71" w:themeColor="text1"/>
        </w:rPr>
        <w:t xml:space="preserve">ervices currently offered,” list the services your college </w:t>
      </w:r>
      <w:r w:rsidR="00541FEE" w:rsidRPr="00244BA2">
        <w:rPr>
          <w:rFonts w:ascii="Arial" w:hAnsi="Arial" w:cs="Arial"/>
          <w:color w:val="003C71" w:themeColor="text1"/>
        </w:rPr>
        <w:t xml:space="preserve">currently </w:t>
      </w:r>
      <w:r w:rsidRPr="00244BA2">
        <w:rPr>
          <w:rFonts w:ascii="Arial" w:hAnsi="Arial" w:cs="Arial"/>
          <w:color w:val="003C71" w:themeColor="text1"/>
        </w:rPr>
        <w:t xml:space="preserve">offers related to the </w:t>
      </w:r>
      <w:r w:rsidR="00541FEE" w:rsidRPr="00244BA2">
        <w:rPr>
          <w:rFonts w:ascii="Arial" w:hAnsi="Arial" w:cs="Arial"/>
          <w:color w:val="003C71" w:themeColor="text1"/>
        </w:rPr>
        <w:t>section topics.  In the column titled “Potential future college actions,” list strategies your college may employ to address feedback from students</w:t>
      </w:r>
      <w:r w:rsidR="006B57C3" w:rsidRPr="00244BA2">
        <w:rPr>
          <w:rFonts w:ascii="Arial" w:hAnsi="Arial" w:cs="Arial"/>
          <w:color w:val="003C71" w:themeColor="text1"/>
        </w:rPr>
        <w:t xml:space="preserve"> and improve services</w:t>
      </w:r>
      <w:r w:rsidR="00541FEE" w:rsidRPr="00244BA2">
        <w:rPr>
          <w:rFonts w:ascii="Arial" w:hAnsi="Arial" w:cs="Arial"/>
          <w:color w:val="003C71" w:themeColor="text1"/>
        </w:rPr>
        <w:t>.</w:t>
      </w:r>
      <w:r w:rsidR="007626DE" w:rsidRPr="00244BA2">
        <w:rPr>
          <w:rFonts w:ascii="Arial" w:hAnsi="Arial" w:cs="Arial"/>
          <w:color w:val="003C71" w:themeColor="text1"/>
        </w:rPr>
        <w:t xml:space="preserve">  The table will expand to accommodate </w:t>
      </w:r>
      <w:r w:rsidR="008F6425" w:rsidRPr="00244BA2">
        <w:rPr>
          <w:rFonts w:ascii="Arial" w:hAnsi="Arial" w:cs="Arial"/>
          <w:color w:val="003C71" w:themeColor="text1"/>
        </w:rPr>
        <w:t>your text</w:t>
      </w:r>
      <w:r w:rsidR="007626DE" w:rsidRPr="00244BA2">
        <w:rPr>
          <w:rFonts w:ascii="Arial" w:hAnsi="Arial" w:cs="Arial"/>
          <w:color w:val="003C71" w:themeColor="text1"/>
        </w:rPr>
        <w:t>.</w:t>
      </w:r>
    </w:p>
    <w:p w:rsidR="001B60AD" w:rsidRPr="00244BA2" w:rsidRDefault="001B60AD">
      <w:pPr>
        <w:rPr>
          <w:rFonts w:ascii="Arial" w:hAnsi="Arial" w:cs="Arial"/>
        </w:rPr>
      </w:pPr>
    </w:p>
    <w:tbl>
      <w:tblPr>
        <w:tblStyle w:val="TableGrid"/>
        <w:tblW w:w="10075" w:type="dxa"/>
        <w:tblBorders>
          <w:top w:val="single" w:sz="4" w:space="0" w:color="003C71" w:themeColor="text1"/>
          <w:left w:val="single" w:sz="4" w:space="0" w:color="003C71" w:themeColor="text1"/>
          <w:bottom w:val="single" w:sz="4" w:space="0" w:color="003C71" w:themeColor="text1"/>
          <w:right w:val="single" w:sz="4" w:space="0" w:color="003C71" w:themeColor="text1"/>
          <w:insideH w:val="single" w:sz="4" w:space="0" w:color="003C71" w:themeColor="text1"/>
          <w:insideV w:val="single" w:sz="4" w:space="0" w:color="003C71" w:themeColor="tex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77"/>
        <w:gridCol w:w="1817"/>
        <w:gridCol w:w="711"/>
        <w:gridCol w:w="1813"/>
        <w:gridCol w:w="872"/>
        <w:gridCol w:w="645"/>
        <w:gridCol w:w="909"/>
        <w:gridCol w:w="870"/>
        <w:gridCol w:w="1461"/>
      </w:tblGrid>
      <w:tr w:rsidR="002914E6" w:rsidRPr="00244BA2" w:rsidTr="00DE1173">
        <w:tc>
          <w:tcPr>
            <w:tcW w:w="10075" w:type="dxa"/>
            <w:gridSpan w:val="9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b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b/>
                <w:color w:val="003C71" w:themeColor="text1"/>
              </w:rPr>
              <w:t>Career and Academic Planning</w:t>
            </w:r>
          </w:p>
        </w:tc>
      </w:tr>
      <w:tr w:rsidR="00946694" w:rsidRPr="00244BA2" w:rsidTr="00DE1173">
        <w:trPr>
          <w:trHeight w:val="461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“never” talked about their career plans with an instructor or advisor. (4</w:t>
            </w:r>
            <w:r w:rsidR="00132C23" w:rsidRPr="00244BA2">
              <w:rPr>
                <w:rFonts w:ascii="Arial" w:hAnsi="Arial" w:cs="Arial"/>
                <w:color w:val="003C71" w:themeColor="text1"/>
              </w:rPr>
              <w:t>m</w:t>
            </w:r>
            <w:r w:rsidRPr="00244BA2">
              <w:rPr>
                <w:rFonts w:ascii="Arial" w:hAnsi="Arial" w:cs="Arial"/>
                <w:color w:val="003C71" w:themeColor="text1"/>
              </w:rPr>
              <w:t>)</w:t>
            </w:r>
          </w:p>
        </w:tc>
      </w:tr>
      <w:tr w:rsidR="002914E6" w:rsidRPr="00244BA2" w:rsidTr="00892548">
        <w:tc>
          <w:tcPr>
            <w:tcW w:w="3505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Most surprising data and disaggregated results</w:t>
            </w:r>
          </w:p>
        </w:tc>
        <w:tc>
          <w:tcPr>
            <w:tcW w:w="333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currently offered</w:t>
            </w:r>
          </w:p>
        </w:tc>
        <w:tc>
          <w:tcPr>
            <w:tcW w:w="324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Potential future college actions</w:t>
            </w:r>
          </w:p>
        </w:tc>
      </w:tr>
      <w:tr w:rsidR="002914E6" w:rsidRPr="00244BA2" w:rsidTr="00892548">
        <w:tc>
          <w:tcPr>
            <w:tcW w:w="3505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333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324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</w:tr>
      <w:tr w:rsidR="002914E6" w:rsidRPr="00244BA2" w:rsidTr="00DE1173">
        <w:tc>
          <w:tcPr>
            <w:tcW w:w="10075" w:type="dxa"/>
            <w:gridSpan w:val="9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b/>
                <w:color w:val="003C71" w:themeColor="text1"/>
              </w:rPr>
            </w:pPr>
            <w:r w:rsidRPr="00244BA2">
              <w:rPr>
                <w:rFonts w:ascii="Arial" w:hAnsi="Arial" w:cs="Arial"/>
                <w:b/>
                <w:color w:val="003C71" w:themeColor="text1"/>
              </w:rPr>
              <w:t>Academic and Non-Academic Support</w:t>
            </w:r>
          </w:p>
        </w:tc>
      </w:tr>
      <w:tr w:rsidR="00946694" w:rsidRPr="00244BA2" w:rsidTr="00DE1173">
        <w:trPr>
          <w:trHeight w:val="590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encouragement to spend significant amounts of time studying. (9a)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support needed to be successful. (9b)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encouragement for contact among students from different economic, social, and racial or ethnic backgrounds. (9c)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help for coping with their non-academic responsibilities (work, family, etc.). (9d)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support to thrive socially. (9e)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 college emphasized “some” or “very little” financial support needed to afford college. (9f)</w:t>
            </w:r>
          </w:p>
        </w:tc>
      </w:tr>
      <w:tr w:rsidR="002914E6" w:rsidRPr="00244BA2" w:rsidTr="00892548">
        <w:tc>
          <w:tcPr>
            <w:tcW w:w="3505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lastRenderedPageBreak/>
              <w:t>Most surprising data and disaggregated results</w:t>
            </w:r>
          </w:p>
        </w:tc>
        <w:tc>
          <w:tcPr>
            <w:tcW w:w="333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currently offered</w:t>
            </w:r>
          </w:p>
        </w:tc>
        <w:tc>
          <w:tcPr>
            <w:tcW w:w="324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Potential future college actions</w:t>
            </w:r>
          </w:p>
        </w:tc>
      </w:tr>
      <w:tr w:rsidR="002914E6" w:rsidRPr="00244BA2" w:rsidTr="00892548">
        <w:tc>
          <w:tcPr>
            <w:tcW w:w="3505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33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24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2914E6" w:rsidRPr="00244BA2" w:rsidTr="00DE1173">
        <w:tc>
          <w:tcPr>
            <w:tcW w:w="10075" w:type="dxa"/>
            <w:gridSpan w:val="9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b/>
                <w:color w:val="003C71" w:themeColor="text1"/>
              </w:rPr>
            </w:pPr>
            <w:r w:rsidRPr="00244BA2">
              <w:rPr>
                <w:rFonts w:ascii="Arial" w:hAnsi="Arial" w:cs="Arial"/>
                <w:b/>
                <w:color w:val="003C71" w:themeColor="text1"/>
              </w:rPr>
              <w:t>Out-Of-Class Responsibilities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spent “none” or “1-5” hours per week preparing for class. (10a)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spent “30 or more” hours per week working for pay. (10b)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spent “none” or “1-5” hours per week participating in college-sponsored activities. (10c)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spent “30 or more” hours per week caring for dependents living with them. (10d)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they spent more than 5 hours per week commuting to and from classes. (10e)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working full-time would “likely” or “very likely” cause them to withdraw from class</w:t>
            </w:r>
            <w:r w:rsidR="005966FA" w:rsidRPr="00244BA2">
              <w:rPr>
                <w:rFonts w:ascii="Arial" w:hAnsi="Arial" w:cs="Arial"/>
                <w:color w:val="003C71" w:themeColor="text1"/>
              </w:rPr>
              <w:t xml:space="preserve"> or college. (14</w:t>
            </w:r>
            <w:r w:rsidRPr="00244BA2">
              <w:rPr>
                <w:rFonts w:ascii="Arial" w:hAnsi="Arial" w:cs="Arial"/>
                <w:color w:val="003C71" w:themeColor="text1"/>
              </w:rPr>
              <w:t>a)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caring for dependents would “likely or “very likely” cause them to withdraw from class</w:t>
            </w:r>
            <w:r w:rsidR="005966FA" w:rsidRPr="00244BA2">
              <w:rPr>
                <w:rFonts w:ascii="Arial" w:hAnsi="Arial" w:cs="Arial"/>
                <w:color w:val="003C71" w:themeColor="text1"/>
              </w:rPr>
              <w:t xml:space="preserve"> or college. (14</w:t>
            </w:r>
            <w:r w:rsidRPr="00244BA2">
              <w:rPr>
                <w:rFonts w:ascii="Arial" w:hAnsi="Arial" w:cs="Arial"/>
                <w:color w:val="003C71" w:themeColor="text1"/>
              </w:rPr>
              <w:t>b)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academic under-preparedness would “likely or “very likely” cause them to withdraw from class</w:t>
            </w:r>
            <w:r w:rsidR="005966FA" w:rsidRPr="00244BA2">
              <w:rPr>
                <w:rFonts w:ascii="Arial" w:hAnsi="Arial" w:cs="Arial"/>
                <w:color w:val="003C71" w:themeColor="text1"/>
              </w:rPr>
              <w:t xml:space="preserve"> or college. (14</w:t>
            </w:r>
            <w:r w:rsidRPr="00244BA2">
              <w:rPr>
                <w:rFonts w:ascii="Arial" w:hAnsi="Arial" w:cs="Arial"/>
                <w:color w:val="003C71" w:themeColor="text1"/>
              </w:rPr>
              <w:t>c)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lack of finances would “likely or “very likely” cause them to withdraw from class</w:t>
            </w:r>
            <w:r w:rsidR="005966FA" w:rsidRPr="00244BA2">
              <w:rPr>
                <w:rFonts w:ascii="Arial" w:hAnsi="Arial" w:cs="Arial"/>
                <w:color w:val="003C71" w:themeColor="text1"/>
              </w:rPr>
              <w:t xml:space="preserve"> or college. (14</w:t>
            </w:r>
            <w:r w:rsidRPr="00244BA2">
              <w:rPr>
                <w:rFonts w:ascii="Arial" w:hAnsi="Arial" w:cs="Arial"/>
                <w:color w:val="003C71" w:themeColor="text1"/>
              </w:rPr>
              <w:t>d)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transferring to a 4-year institution would “likely or “very likely” cause them to withdraw from class</w:t>
            </w:r>
            <w:r w:rsidR="005966FA" w:rsidRPr="00244BA2">
              <w:rPr>
                <w:rFonts w:ascii="Arial" w:hAnsi="Arial" w:cs="Arial"/>
                <w:color w:val="003C71" w:themeColor="text1"/>
              </w:rPr>
              <w:t xml:space="preserve"> or college. (14</w:t>
            </w:r>
            <w:r w:rsidRPr="00244BA2">
              <w:rPr>
                <w:rFonts w:ascii="Arial" w:hAnsi="Arial" w:cs="Arial"/>
                <w:color w:val="003C71" w:themeColor="text1"/>
              </w:rPr>
              <w:t>e)</w:t>
            </w:r>
          </w:p>
        </w:tc>
      </w:tr>
      <w:tr w:rsidR="002914E6" w:rsidRPr="00244BA2" w:rsidTr="00892548">
        <w:tc>
          <w:tcPr>
            <w:tcW w:w="3505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Most surprising data and disaggregated results</w:t>
            </w:r>
          </w:p>
        </w:tc>
        <w:tc>
          <w:tcPr>
            <w:tcW w:w="333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currently offered</w:t>
            </w:r>
          </w:p>
        </w:tc>
        <w:tc>
          <w:tcPr>
            <w:tcW w:w="324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Potential future college actions</w:t>
            </w:r>
          </w:p>
        </w:tc>
      </w:tr>
      <w:tr w:rsidR="002914E6" w:rsidRPr="00244BA2" w:rsidTr="00892548">
        <w:tc>
          <w:tcPr>
            <w:tcW w:w="3505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33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24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2914E6" w:rsidRPr="00244BA2" w:rsidTr="00DE1173">
        <w:tc>
          <w:tcPr>
            <w:tcW w:w="10075" w:type="dxa"/>
            <w:gridSpan w:val="9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b/>
                <w:color w:val="003C71" w:themeColor="text1"/>
              </w:rPr>
            </w:pPr>
            <w:r w:rsidRPr="00244BA2">
              <w:rPr>
                <w:rFonts w:ascii="Arial" w:hAnsi="Arial" w:cs="Arial"/>
                <w:b/>
                <w:color w:val="003C71" w:themeColor="text1"/>
              </w:rPr>
              <w:t>Student Finances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their own income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/savings</w:t>
            </w:r>
            <w:r w:rsidRPr="00244BA2">
              <w:rPr>
                <w:rFonts w:ascii="Arial" w:hAnsi="Arial" w:cs="Arial"/>
                <w:color w:val="003C71" w:themeColor="text1"/>
              </w:rPr>
              <w:t xml:space="preserve"> was a “major source” t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hey used to pay for college. (18</w:t>
            </w:r>
            <w:r w:rsidRPr="00244BA2">
              <w:rPr>
                <w:rFonts w:ascii="Arial" w:hAnsi="Arial" w:cs="Arial"/>
                <w:color w:val="003C71" w:themeColor="text1"/>
              </w:rPr>
              <w:t>a)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  <w:highlight w:val="yellow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  <w:highlight w:val="yellow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 xml:space="preserve">% of our students reported that their 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parent or spouse/significant other’s</w:t>
            </w:r>
            <w:r w:rsidRPr="00244BA2">
              <w:rPr>
                <w:rFonts w:ascii="Arial" w:hAnsi="Arial" w:cs="Arial"/>
                <w:color w:val="003C71" w:themeColor="text1"/>
              </w:rPr>
              <w:t xml:space="preserve"> income/savings was a “major source” t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hey used to pay for college. (18</w:t>
            </w:r>
            <w:r w:rsidRPr="00244BA2">
              <w:rPr>
                <w:rFonts w:ascii="Arial" w:hAnsi="Arial" w:cs="Arial"/>
                <w:color w:val="003C71" w:themeColor="text1"/>
              </w:rPr>
              <w:t>b)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their employer’s contributions were a “major source” t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hey used to pay for college. (18</w:t>
            </w:r>
            <w:r w:rsidRPr="00244BA2">
              <w:rPr>
                <w:rFonts w:ascii="Arial" w:hAnsi="Arial" w:cs="Arial"/>
                <w:color w:val="003C71" w:themeColor="text1"/>
              </w:rPr>
              <w:t>c)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 xml:space="preserve">% of our students reported that grants 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 xml:space="preserve">and scholarships </w:t>
            </w:r>
            <w:r w:rsidRPr="00244BA2">
              <w:rPr>
                <w:rFonts w:ascii="Arial" w:hAnsi="Arial" w:cs="Arial"/>
                <w:color w:val="003C71" w:themeColor="text1"/>
              </w:rPr>
              <w:t>were a “major source” th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ey used to pay for college. (18d</w:t>
            </w:r>
            <w:r w:rsidRPr="00244BA2">
              <w:rPr>
                <w:rFonts w:ascii="Arial" w:hAnsi="Arial" w:cs="Arial"/>
                <w:color w:val="003C71" w:themeColor="text1"/>
              </w:rPr>
              <w:t>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student loans were a “major source” th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ey used to pay for college. (18e</w:t>
            </w:r>
            <w:r w:rsidRPr="00244BA2">
              <w:rPr>
                <w:rFonts w:ascii="Arial" w:hAnsi="Arial" w:cs="Arial"/>
                <w:color w:val="003C71" w:themeColor="text1"/>
              </w:rPr>
              <w:t>)</w:t>
            </w:r>
          </w:p>
        </w:tc>
      </w:tr>
      <w:tr w:rsidR="00946694" w:rsidRPr="00244BA2" w:rsidTr="00DE1173">
        <w:trPr>
          <w:trHeight w:val="576"/>
        </w:trPr>
        <w:tc>
          <w:tcPr>
            <w:tcW w:w="977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9098" w:type="dxa"/>
            <w:gridSpan w:val="8"/>
            <w:shd w:val="clear" w:color="auto" w:fill="F3F9E3" w:themeFill="accent5" w:themeFillTint="33"/>
          </w:tcPr>
          <w:p w:rsidR="002914E6" w:rsidRPr="00244BA2" w:rsidRDefault="002914E6" w:rsidP="002914E6">
            <w:pPr>
              <w:tabs>
                <w:tab w:val="left" w:pos="1280"/>
              </w:tabs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of our students reported that public assistance was a “major source” they used to pay for college. (</w:t>
            </w:r>
            <w:r w:rsidR="0074060E" w:rsidRPr="00244BA2">
              <w:rPr>
                <w:rFonts w:ascii="Arial" w:hAnsi="Arial" w:cs="Arial"/>
                <w:color w:val="003C71" w:themeColor="text1"/>
              </w:rPr>
              <w:t>18f</w:t>
            </w:r>
            <w:r w:rsidRPr="00244BA2">
              <w:rPr>
                <w:rFonts w:ascii="Arial" w:hAnsi="Arial" w:cs="Arial"/>
                <w:color w:val="003C71" w:themeColor="text1"/>
              </w:rPr>
              <w:t>)</w:t>
            </w:r>
          </w:p>
        </w:tc>
      </w:tr>
      <w:tr w:rsidR="002914E6" w:rsidRPr="00244BA2" w:rsidTr="00892548">
        <w:tc>
          <w:tcPr>
            <w:tcW w:w="3505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Most surprising data and disaggregated results</w:t>
            </w:r>
          </w:p>
        </w:tc>
        <w:tc>
          <w:tcPr>
            <w:tcW w:w="333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currently offered</w:t>
            </w:r>
          </w:p>
        </w:tc>
        <w:tc>
          <w:tcPr>
            <w:tcW w:w="324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Potential future college actions</w:t>
            </w:r>
          </w:p>
        </w:tc>
      </w:tr>
      <w:tr w:rsidR="002914E6" w:rsidRPr="00244BA2" w:rsidTr="00892548">
        <w:tc>
          <w:tcPr>
            <w:tcW w:w="3505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33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24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</w:tr>
      <w:tr w:rsidR="002914E6" w:rsidRPr="00244BA2" w:rsidTr="00DE1173">
        <w:trPr>
          <w:trHeight w:val="576"/>
        </w:trPr>
        <w:tc>
          <w:tcPr>
            <w:tcW w:w="10075" w:type="dxa"/>
            <w:gridSpan w:val="9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b/>
                <w:color w:val="003C71" w:themeColor="text1"/>
              </w:rPr>
            </w:pPr>
            <w:r w:rsidRPr="00244BA2">
              <w:rPr>
                <w:rFonts w:ascii="Arial" w:hAnsi="Arial" w:cs="Arial"/>
                <w:b/>
                <w:color w:val="003C71" w:themeColor="text1"/>
              </w:rPr>
              <w:t>Frequency, Satisfaction, and Importance of Services (12)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Academic advising/planning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a)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>rarely/</w:t>
            </w:r>
            <w:r w:rsidRPr="00244BA2">
              <w:rPr>
                <w:rFonts w:ascii="Arial" w:hAnsi="Arial" w:cs="Arial"/>
                <w:color w:val="003C71" w:themeColor="text1"/>
              </w:rPr>
              <w:t>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Career counseling (13b)</w:t>
            </w:r>
          </w:p>
        </w:tc>
        <w:tc>
          <w:tcPr>
            <w:tcW w:w="711" w:type="dxa"/>
            <w:shd w:val="clear" w:color="auto" w:fill="auto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C5490E" w:rsidRPr="00244BA2" w:rsidRDefault="00C5490E" w:rsidP="00C5490E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Job placement assistance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c)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Peer or other tutoring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d)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Skills labs (writing, math, etc.)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e)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Child care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f)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Financial aid advising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g)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Computer lab</w:t>
            </w:r>
            <w:r w:rsidR="00C5490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h)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lastRenderedPageBreak/>
              <w:t>Student organizations</w:t>
            </w:r>
            <w:r w:rsidR="00DE252E" w:rsidRPr="00244BA2">
              <w:rPr>
                <w:rFonts w:ascii="Arial" w:hAnsi="Arial" w:cs="Arial"/>
                <w:color w:val="003C71" w:themeColor="text1"/>
              </w:rPr>
              <w:t xml:space="preserve"> (13</w:t>
            </w:r>
            <w:r w:rsidRPr="00244BA2">
              <w:rPr>
                <w:rFonts w:ascii="Arial" w:hAnsi="Arial" w:cs="Arial"/>
                <w:color w:val="003C71" w:themeColor="text1"/>
              </w:rPr>
              <w:t>i)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DE252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Transfer credit assistance (13</w:t>
            </w:r>
            <w:r w:rsidR="002914E6" w:rsidRPr="00244BA2">
              <w:rPr>
                <w:rFonts w:ascii="Arial" w:hAnsi="Arial" w:cs="Arial"/>
                <w:color w:val="003C71" w:themeColor="text1"/>
              </w:rPr>
              <w:t>j)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892548" w:rsidRPr="00244BA2" w:rsidTr="00892548">
        <w:trPr>
          <w:trHeight w:val="576"/>
        </w:trPr>
        <w:tc>
          <w:tcPr>
            <w:tcW w:w="279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for students with disabilities</w:t>
            </w:r>
            <w:r w:rsidR="00676F1B" w:rsidRPr="00244BA2">
              <w:rPr>
                <w:rFonts w:ascii="Arial" w:hAnsi="Arial" w:cs="Arial"/>
                <w:color w:val="003C71" w:themeColor="text1"/>
              </w:rPr>
              <w:t xml:space="preserve"> (13k</w:t>
            </w:r>
            <w:r w:rsidRPr="00244BA2">
              <w:rPr>
                <w:rFonts w:ascii="Arial" w:hAnsi="Arial" w:cs="Arial"/>
                <w:color w:val="003C71" w:themeColor="text1"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813" w:type="dxa"/>
            <w:shd w:val="clear" w:color="auto" w:fill="F3F9E3" w:themeFill="accent5" w:themeFillTint="33"/>
          </w:tcPr>
          <w:p w:rsidR="002914E6" w:rsidRPr="00244BA2" w:rsidRDefault="00C5490E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“rarely/never” used</w:t>
            </w:r>
          </w:p>
        </w:tc>
        <w:tc>
          <w:tcPr>
            <w:tcW w:w="872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554" w:type="dxa"/>
            <w:gridSpan w:val="2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“not at all” satisfied</w:t>
            </w:r>
          </w:p>
        </w:tc>
        <w:tc>
          <w:tcPr>
            <w:tcW w:w="870" w:type="dxa"/>
            <w:shd w:val="clear" w:color="auto" w:fill="auto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1461" w:type="dxa"/>
            <w:shd w:val="clear" w:color="auto" w:fill="F3F9E3" w:themeFill="accent5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% “very” important</w:t>
            </w:r>
          </w:p>
        </w:tc>
      </w:tr>
      <w:tr w:rsidR="002914E6" w:rsidRPr="00244BA2" w:rsidTr="00892548">
        <w:tc>
          <w:tcPr>
            <w:tcW w:w="3505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Most surprising data and disaggregated results</w:t>
            </w:r>
          </w:p>
        </w:tc>
        <w:tc>
          <w:tcPr>
            <w:tcW w:w="333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Services currently offered</w:t>
            </w:r>
          </w:p>
        </w:tc>
        <w:tc>
          <w:tcPr>
            <w:tcW w:w="3240" w:type="dxa"/>
            <w:gridSpan w:val="3"/>
            <w:shd w:val="clear" w:color="auto" w:fill="F1F6F8" w:themeFill="accent4" w:themeFillTint="3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  <w:r w:rsidRPr="00244BA2">
              <w:rPr>
                <w:rFonts w:ascii="Arial" w:hAnsi="Arial" w:cs="Arial"/>
                <w:color w:val="003C71" w:themeColor="text1"/>
              </w:rPr>
              <w:t>Potential future college actions</w:t>
            </w:r>
          </w:p>
        </w:tc>
      </w:tr>
      <w:tr w:rsidR="002914E6" w:rsidRPr="00244BA2" w:rsidTr="00892548">
        <w:tc>
          <w:tcPr>
            <w:tcW w:w="3505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33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  <w:tc>
          <w:tcPr>
            <w:tcW w:w="3240" w:type="dxa"/>
            <w:gridSpan w:val="3"/>
          </w:tcPr>
          <w:p w:rsidR="002914E6" w:rsidRPr="00244BA2" w:rsidRDefault="002914E6" w:rsidP="002914E6">
            <w:pPr>
              <w:rPr>
                <w:rFonts w:ascii="Arial" w:hAnsi="Arial" w:cs="Arial"/>
                <w:color w:val="003C71" w:themeColor="text1"/>
              </w:rPr>
            </w:pPr>
          </w:p>
        </w:tc>
      </w:tr>
    </w:tbl>
    <w:p w:rsidR="00C66FF0" w:rsidRPr="00244BA2" w:rsidRDefault="00C66FF0">
      <w:pPr>
        <w:rPr>
          <w:rFonts w:ascii="Arial" w:hAnsi="Arial" w:cs="Arial"/>
        </w:rPr>
      </w:pPr>
    </w:p>
    <w:sectPr w:rsidR="00C66FF0" w:rsidRPr="00244BA2" w:rsidSect="002A11D8">
      <w:headerReference w:type="default" r:id="rId7"/>
      <w:footerReference w:type="even" r:id="rId8"/>
      <w:footerReference w:type="default" r:id="rId9"/>
      <w:pgSz w:w="12240" w:h="15840"/>
      <w:pgMar w:top="187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25E" w:rsidRDefault="00C6325E" w:rsidP="002A11D8">
      <w:r>
        <w:separator/>
      </w:r>
    </w:p>
  </w:endnote>
  <w:endnote w:type="continuationSeparator" w:id="0">
    <w:p w:rsidR="00C6325E" w:rsidRDefault="00C6325E" w:rsidP="002A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02287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A11D8" w:rsidRDefault="002A11D8" w:rsidP="008575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A11D8" w:rsidRDefault="002A11D8" w:rsidP="002A11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0952408"/>
      <w:docPartObj>
        <w:docPartGallery w:val="Page Numbers (Bottom of Page)"/>
        <w:docPartUnique/>
      </w:docPartObj>
    </w:sdtPr>
    <w:sdtEndPr>
      <w:rPr>
        <w:rStyle w:val="PageNumber"/>
        <w:color w:val="003C71" w:themeColor="text1"/>
      </w:rPr>
    </w:sdtEndPr>
    <w:sdtContent>
      <w:p w:rsidR="002A11D8" w:rsidRPr="002A11D8" w:rsidRDefault="002A11D8" w:rsidP="008575B3">
        <w:pPr>
          <w:pStyle w:val="Footer"/>
          <w:framePr w:wrap="none" w:vAnchor="text" w:hAnchor="margin" w:xAlign="right" w:y="1"/>
          <w:rPr>
            <w:rStyle w:val="PageNumber"/>
            <w:color w:val="003C71" w:themeColor="text1"/>
          </w:rPr>
        </w:pPr>
        <w:r w:rsidRPr="002A11D8">
          <w:rPr>
            <w:rStyle w:val="PageNumber"/>
            <w:color w:val="003C71" w:themeColor="text1"/>
          </w:rPr>
          <w:fldChar w:fldCharType="begin"/>
        </w:r>
        <w:r w:rsidRPr="002A11D8">
          <w:rPr>
            <w:rStyle w:val="PageNumber"/>
            <w:color w:val="003C71" w:themeColor="text1"/>
          </w:rPr>
          <w:instrText xml:space="preserve"> PAGE </w:instrText>
        </w:r>
        <w:r w:rsidRPr="002A11D8">
          <w:rPr>
            <w:rStyle w:val="PageNumber"/>
            <w:color w:val="003C71" w:themeColor="text1"/>
          </w:rPr>
          <w:fldChar w:fldCharType="separate"/>
        </w:r>
        <w:r w:rsidRPr="002A11D8">
          <w:rPr>
            <w:rStyle w:val="PageNumber"/>
            <w:noProof/>
            <w:color w:val="003C71" w:themeColor="text1"/>
          </w:rPr>
          <w:t>1</w:t>
        </w:r>
        <w:r w:rsidRPr="002A11D8">
          <w:rPr>
            <w:rStyle w:val="PageNumber"/>
            <w:color w:val="003C71" w:themeColor="text1"/>
          </w:rPr>
          <w:fldChar w:fldCharType="end"/>
        </w:r>
      </w:p>
    </w:sdtContent>
  </w:sdt>
  <w:p w:rsidR="002A11D8" w:rsidRDefault="002A11D8" w:rsidP="002A11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25E" w:rsidRDefault="00C6325E" w:rsidP="002A11D8">
      <w:r>
        <w:separator/>
      </w:r>
    </w:p>
  </w:footnote>
  <w:footnote w:type="continuationSeparator" w:id="0">
    <w:p w:rsidR="00C6325E" w:rsidRDefault="00C6325E" w:rsidP="002A1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D8" w:rsidRDefault="002A11D8" w:rsidP="002A11D8">
    <w:pPr>
      <w:pStyle w:val="Header"/>
      <w:tabs>
        <w:tab w:val="clear" w:pos="9360"/>
      </w:tabs>
    </w:pPr>
    <w:r>
      <w:rPr>
        <w:noProof/>
      </w:rPr>
      <w:drawing>
        <wp:inline distT="0" distB="0" distL="0" distR="0" wp14:anchorId="62F1DB93" wp14:editId="73819388">
          <wp:extent cx="2609958" cy="604276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xas Success Center 1c blue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6283" cy="61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                                      </w:t>
    </w:r>
    <w:r>
      <w:rPr>
        <w:noProof/>
      </w:rPr>
      <w:drawing>
        <wp:inline distT="0" distB="0" distL="0" distR="0" wp14:anchorId="4D05AF48" wp14:editId="6E224621">
          <wp:extent cx="1514621" cy="668215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xas Pathways Minus TSC_06.22.201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113" cy="678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B21F8"/>
    <w:multiLevelType w:val="hybridMultilevel"/>
    <w:tmpl w:val="C778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B6CE5"/>
    <w:multiLevelType w:val="hybridMultilevel"/>
    <w:tmpl w:val="C8D0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AD"/>
    <w:rsid w:val="00037981"/>
    <w:rsid w:val="0008442C"/>
    <w:rsid w:val="00107A2C"/>
    <w:rsid w:val="0011089D"/>
    <w:rsid w:val="00132C23"/>
    <w:rsid w:val="001732D0"/>
    <w:rsid w:val="00180BFB"/>
    <w:rsid w:val="001B60AD"/>
    <w:rsid w:val="00221227"/>
    <w:rsid w:val="00244BA2"/>
    <w:rsid w:val="00262EE3"/>
    <w:rsid w:val="002914E6"/>
    <w:rsid w:val="002A11D8"/>
    <w:rsid w:val="002C145B"/>
    <w:rsid w:val="002F2051"/>
    <w:rsid w:val="00351870"/>
    <w:rsid w:val="003F1471"/>
    <w:rsid w:val="0040274E"/>
    <w:rsid w:val="004D67D4"/>
    <w:rsid w:val="00513AB6"/>
    <w:rsid w:val="00541FEE"/>
    <w:rsid w:val="005523D7"/>
    <w:rsid w:val="005966FA"/>
    <w:rsid w:val="005E07D2"/>
    <w:rsid w:val="005F1EA8"/>
    <w:rsid w:val="00674C11"/>
    <w:rsid w:val="00676F1B"/>
    <w:rsid w:val="006B57C3"/>
    <w:rsid w:val="006D2185"/>
    <w:rsid w:val="00720C39"/>
    <w:rsid w:val="00736325"/>
    <w:rsid w:val="0074060E"/>
    <w:rsid w:val="00751415"/>
    <w:rsid w:val="007626DE"/>
    <w:rsid w:val="007E26BA"/>
    <w:rsid w:val="008613E9"/>
    <w:rsid w:val="00892548"/>
    <w:rsid w:val="008A08AB"/>
    <w:rsid w:val="008E294F"/>
    <w:rsid w:val="008F6425"/>
    <w:rsid w:val="0093679B"/>
    <w:rsid w:val="00946694"/>
    <w:rsid w:val="00A217F0"/>
    <w:rsid w:val="00AB71D5"/>
    <w:rsid w:val="00AC364C"/>
    <w:rsid w:val="00AE799B"/>
    <w:rsid w:val="00B02582"/>
    <w:rsid w:val="00B34827"/>
    <w:rsid w:val="00B64AAD"/>
    <w:rsid w:val="00BB3200"/>
    <w:rsid w:val="00C5490E"/>
    <w:rsid w:val="00C6325E"/>
    <w:rsid w:val="00C66FF0"/>
    <w:rsid w:val="00D07DB9"/>
    <w:rsid w:val="00D71FD1"/>
    <w:rsid w:val="00DD3782"/>
    <w:rsid w:val="00DE1173"/>
    <w:rsid w:val="00DE252E"/>
    <w:rsid w:val="00DF06EB"/>
    <w:rsid w:val="00E063C4"/>
    <w:rsid w:val="00E3626C"/>
    <w:rsid w:val="00E3666A"/>
    <w:rsid w:val="00E525B1"/>
    <w:rsid w:val="00E72C84"/>
    <w:rsid w:val="00EA66AE"/>
    <w:rsid w:val="00ED5D3B"/>
    <w:rsid w:val="00F31EB9"/>
    <w:rsid w:val="00F638A1"/>
    <w:rsid w:val="00F801B7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21D7A66C-52AF-6441-B345-FAD3E174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AAD"/>
    <w:pPr>
      <w:ind w:left="720"/>
      <w:contextualSpacing/>
    </w:pPr>
  </w:style>
  <w:style w:type="character" w:styleId="SubtleEmphasis">
    <w:name w:val="Subtle Emphasis"/>
    <w:uiPriority w:val="19"/>
    <w:qFormat/>
    <w:rsid w:val="00B64AAD"/>
    <w:rPr>
      <w:i/>
      <w:iCs/>
      <w:color w:val="3B4E24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2A1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1D8"/>
  </w:style>
  <w:style w:type="paragraph" w:styleId="Footer">
    <w:name w:val="footer"/>
    <w:basedOn w:val="Normal"/>
    <w:link w:val="FooterChar"/>
    <w:uiPriority w:val="99"/>
    <w:unhideWhenUsed/>
    <w:rsid w:val="002A1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1D8"/>
  </w:style>
  <w:style w:type="character" w:styleId="PageNumber">
    <w:name w:val="page number"/>
    <w:basedOn w:val="DefaultParagraphFont"/>
    <w:uiPriority w:val="99"/>
    <w:semiHidden/>
    <w:unhideWhenUsed/>
    <w:rsid w:val="002A1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ACC">
      <a:dk1>
        <a:srgbClr val="003C71"/>
      </a:dk1>
      <a:lt1>
        <a:srgbClr val="FFFFFF"/>
      </a:lt1>
      <a:dk2>
        <a:srgbClr val="A7A8AA"/>
      </a:dk2>
      <a:lt2>
        <a:srgbClr val="E7E6E6"/>
      </a:lt2>
      <a:accent1>
        <a:srgbClr val="789D49"/>
      </a:accent1>
      <a:accent2>
        <a:srgbClr val="8B4720"/>
      </a:accent2>
      <a:accent3>
        <a:srgbClr val="5F8FB3"/>
      </a:accent3>
      <a:accent4>
        <a:srgbClr val="B9D3DC"/>
      </a:accent4>
      <a:accent5>
        <a:srgbClr val="C8E379"/>
      </a:accent5>
      <a:accent6>
        <a:srgbClr val="E59E6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Success Center</dc:creator>
  <cp:keywords/>
  <dc:description/>
  <cp:lastModifiedBy>Texas Success Center</cp:lastModifiedBy>
  <cp:revision>18</cp:revision>
  <cp:lastPrinted>2018-08-28T20:57:00Z</cp:lastPrinted>
  <dcterms:created xsi:type="dcterms:W3CDTF">2018-08-29T15:10:00Z</dcterms:created>
  <dcterms:modified xsi:type="dcterms:W3CDTF">2018-08-29T18:13:00Z</dcterms:modified>
</cp:coreProperties>
</file>