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00A3" w14:textId="3F459CFD" w:rsidR="00592D0D" w:rsidRPr="00996DDA" w:rsidRDefault="00AA2EDB" w:rsidP="00EB52C5">
      <w:pPr>
        <w:rPr>
          <w:rFonts w:ascii="Avenir Next" w:hAnsi="Avenir Next"/>
          <w:b/>
          <w:bCs/>
        </w:rPr>
      </w:pPr>
      <w:bookmarkStart w:id="0" w:name="_top"/>
      <w:bookmarkEnd w:id="0"/>
      <w:r w:rsidRPr="00996DDA">
        <w:rPr>
          <w:rFonts w:ascii="Avenir Next" w:hAnsi="Avenir Next"/>
          <w:b/>
          <w:bCs/>
        </w:rPr>
        <w:t xml:space="preserve">DRAFT: </w:t>
      </w:r>
      <w:r w:rsidR="00592D0D" w:rsidRPr="00996DDA">
        <w:rPr>
          <w:rFonts w:ascii="Avenir Next" w:hAnsi="Avenir Next"/>
          <w:b/>
          <w:bCs/>
        </w:rPr>
        <w:t>TXCCCF Report to the 88</w:t>
      </w:r>
      <w:r w:rsidRPr="00996DDA">
        <w:rPr>
          <w:rFonts w:ascii="Avenir Next" w:hAnsi="Avenir Next"/>
          <w:b/>
          <w:bCs/>
          <w:vertAlign w:val="superscript"/>
        </w:rPr>
        <w:t>TH</w:t>
      </w:r>
      <w:r w:rsidR="00592D0D" w:rsidRPr="00996DDA">
        <w:rPr>
          <w:rFonts w:ascii="Avenir Next" w:hAnsi="Avenir Next"/>
          <w:b/>
          <w:bCs/>
        </w:rPr>
        <w:t xml:space="preserve"> Legislature</w:t>
      </w:r>
    </w:p>
    <w:p w14:paraId="24FA48C4" w14:textId="7ACE67DE" w:rsidR="00592D0D" w:rsidRDefault="00217773" w:rsidP="00EB52C5">
      <w:pPr>
        <w:rPr>
          <w:rFonts w:ascii="Avenir Next" w:hAnsi="Avenir Next"/>
          <w:b/>
          <w:bCs/>
        </w:rPr>
      </w:pPr>
      <w:r w:rsidRPr="00996DDA">
        <w:rPr>
          <w:rFonts w:ascii="Avenir Next" w:hAnsi="Avenir Next"/>
          <w:b/>
          <w:bCs/>
        </w:rPr>
        <w:t xml:space="preserve">October </w:t>
      </w:r>
      <w:r w:rsidR="00A504F9">
        <w:rPr>
          <w:rFonts w:ascii="Avenir Next" w:hAnsi="Avenir Next"/>
          <w:b/>
          <w:bCs/>
        </w:rPr>
        <w:t>17</w:t>
      </w:r>
      <w:r w:rsidR="00592D0D" w:rsidRPr="00996DDA">
        <w:rPr>
          <w:rFonts w:ascii="Avenir Next" w:hAnsi="Avenir Next"/>
          <w:b/>
          <w:bCs/>
        </w:rPr>
        <w:t>, 2022</w:t>
      </w:r>
    </w:p>
    <w:p w14:paraId="5D73275C" w14:textId="7F504258" w:rsidR="00EA06A1" w:rsidRDefault="00EA06A1" w:rsidP="00EB52C5">
      <w:pPr>
        <w:rPr>
          <w:rFonts w:ascii="Avenir Next" w:hAnsi="Avenir Next"/>
          <w:b/>
          <w:bCs/>
        </w:rPr>
      </w:pPr>
    </w:p>
    <w:p w14:paraId="450E15F1" w14:textId="55A995EE" w:rsidR="00EA06A1" w:rsidRDefault="00EA06A1" w:rsidP="00EB52C5">
      <w:pPr>
        <w:rPr>
          <w:rFonts w:ascii="Avenir Next" w:hAnsi="Avenir Next"/>
          <w:b/>
          <w:bCs/>
        </w:rPr>
      </w:pPr>
      <w:r>
        <w:rPr>
          <w:rFonts w:ascii="Avenir Next" w:hAnsi="Avenir Next"/>
          <w:b/>
          <w:bCs/>
        </w:rPr>
        <w:t>Outline</w:t>
      </w:r>
    </w:p>
    <w:p w14:paraId="30C81F05" w14:textId="085ADE3C" w:rsidR="00EA06A1" w:rsidRDefault="00EA06A1" w:rsidP="00EB52C5">
      <w:pPr>
        <w:rPr>
          <w:rFonts w:ascii="Avenir Next" w:hAnsi="Avenir Next"/>
          <w:b/>
          <w:bCs/>
        </w:rPr>
      </w:pPr>
    </w:p>
    <w:bookmarkStart w:id="1" w:name="_Letter_from_the"/>
    <w:bookmarkEnd w:id="1"/>
    <w:p w14:paraId="4002C7A7" w14:textId="24A4A236" w:rsidR="00304E51" w:rsidRDefault="00304E51" w:rsidP="00304E51">
      <w:r>
        <w:fldChar w:fldCharType="begin"/>
      </w:r>
      <w:r>
        <w:instrText>HYPERLINK  \l "_Letter_from_the_2"</w:instrText>
      </w:r>
      <w:r>
        <w:fldChar w:fldCharType="separate"/>
      </w:r>
      <w:r w:rsidRPr="00304E51">
        <w:rPr>
          <w:rStyle w:val="Hyperlink"/>
        </w:rPr>
        <w:t>Letter from the TXCCCF Chairman</w:t>
      </w:r>
      <w:r>
        <w:fldChar w:fldCharType="end"/>
      </w:r>
    </w:p>
    <w:p w14:paraId="3BB0F74A" w14:textId="77777777" w:rsidR="00304E51" w:rsidRDefault="00304E51" w:rsidP="00304E51">
      <w:pPr>
        <w:rPr>
          <w:b/>
          <w:bCs/>
        </w:rPr>
      </w:pPr>
    </w:p>
    <w:p w14:paraId="780774CA" w14:textId="38D0C20B" w:rsidR="00304E51" w:rsidRPr="00304E51" w:rsidRDefault="00735101" w:rsidP="00304E51">
      <w:pPr>
        <w:rPr>
          <w:b/>
          <w:bCs/>
        </w:rPr>
      </w:pPr>
      <w:hyperlink w:anchor="_Background_to_the" w:history="1">
        <w:r w:rsidR="00304E51" w:rsidRPr="00304E51">
          <w:rPr>
            <w:rStyle w:val="Hyperlink"/>
            <w:b/>
            <w:bCs/>
          </w:rPr>
          <w:t>Background to the TXCCCF Recommendations</w:t>
        </w:r>
      </w:hyperlink>
    </w:p>
    <w:p w14:paraId="5DE07466" w14:textId="234D2342" w:rsidR="00304E51" w:rsidRDefault="00735101" w:rsidP="00304E51">
      <w:pPr>
        <w:pStyle w:val="ListParagraph"/>
        <w:numPr>
          <w:ilvl w:val="0"/>
          <w:numId w:val="13"/>
        </w:numPr>
      </w:pPr>
      <w:hyperlink w:anchor="_State_Funding_for" w:history="1">
        <w:r w:rsidR="00304E51" w:rsidRPr="00304E51">
          <w:rPr>
            <w:rStyle w:val="Hyperlink"/>
          </w:rPr>
          <w:t>State Funding for Outcomes</w:t>
        </w:r>
      </w:hyperlink>
    </w:p>
    <w:p w14:paraId="001B0752" w14:textId="0287FFE2" w:rsidR="00304E51" w:rsidRDefault="00735101" w:rsidP="00304E51">
      <w:pPr>
        <w:pStyle w:val="ListParagraph"/>
        <w:numPr>
          <w:ilvl w:val="0"/>
          <w:numId w:val="13"/>
        </w:numPr>
      </w:pPr>
      <w:hyperlink w:anchor="_Affordability_for_Students" w:history="1">
        <w:r w:rsidR="00304E51" w:rsidRPr="00304E51">
          <w:rPr>
            <w:rStyle w:val="Hyperlink"/>
          </w:rPr>
          <w:t>Affordability for Students</w:t>
        </w:r>
      </w:hyperlink>
    </w:p>
    <w:p w14:paraId="24029ED2" w14:textId="592EF8A1" w:rsidR="00304E51" w:rsidRDefault="00735101" w:rsidP="00304E51">
      <w:pPr>
        <w:pStyle w:val="ListParagraph"/>
        <w:numPr>
          <w:ilvl w:val="0"/>
          <w:numId w:val="13"/>
        </w:numPr>
      </w:pPr>
      <w:hyperlink w:anchor="_Investments_in_College" w:history="1">
        <w:r w:rsidR="00304E51" w:rsidRPr="00304E51">
          <w:rPr>
            <w:rStyle w:val="Hyperlink"/>
          </w:rPr>
          <w:t>Investments in College Capacity</w:t>
        </w:r>
      </w:hyperlink>
    </w:p>
    <w:p w14:paraId="79EB6911" w14:textId="547ED2AA" w:rsidR="00304E51" w:rsidRDefault="00735101" w:rsidP="00304E51">
      <w:pPr>
        <w:pStyle w:val="ListParagraph"/>
        <w:numPr>
          <w:ilvl w:val="0"/>
          <w:numId w:val="13"/>
        </w:numPr>
      </w:pPr>
      <w:hyperlink w:anchor="_Longer-term_Funding_Challenges" w:history="1">
        <w:r w:rsidR="00304E51" w:rsidRPr="00304E51">
          <w:rPr>
            <w:rStyle w:val="Hyperlink"/>
          </w:rPr>
          <w:t>Longer term funding challenges</w:t>
        </w:r>
      </w:hyperlink>
    </w:p>
    <w:p w14:paraId="0629C273" w14:textId="22471B4D" w:rsidR="00304E51" w:rsidRDefault="00735101" w:rsidP="00304E51">
      <w:pPr>
        <w:pStyle w:val="ListParagraph"/>
        <w:numPr>
          <w:ilvl w:val="0"/>
          <w:numId w:val="13"/>
        </w:numPr>
      </w:pPr>
      <w:hyperlink w:anchor="_TXCCCF’s_Mission_and" w:history="1">
        <w:r w:rsidR="00A504F9">
          <w:rPr>
            <w:rStyle w:val="Hyperlink"/>
          </w:rPr>
          <w:t>TXCCCF mission and commitment to listen</w:t>
        </w:r>
      </w:hyperlink>
    </w:p>
    <w:p w14:paraId="4B8BA39D" w14:textId="77777777" w:rsidR="00304E51" w:rsidRDefault="00304E51" w:rsidP="00304E51">
      <w:pPr>
        <w:rPr>
          <w:b/>
          <w:bCs/>
        </w:rPr>
      </w:pPr>
    </w:p>
    <w:p w14:paraId="7F616C78" w14:textId="0F0B9CD0" w:rsidR="00304E51" w:rsidRPr="00304E51" w:rsidRDefault="00735101" w:rsidP="00304E51">
      <w:pPr>
        <w:rPr>
          <w:b/>
          <w:bCs/>
        </w:rPr>
      </w:pPr>
      <w:hyperlink w:anchor="_Recommendations" w:history="1">
        <w:r w:rsidR="00304E51" w:rsidRPr="00304E51">
          <w:rPr>
            <w:rStyle w:val="Hyperlink"/>
            <w:b/>
            <w:bCs/>
          </w:rPr>
          <w:t>Recommendations</w:t>
        </w:r>
      </w:hyperlink>
    </w:p>
    <w:p w14:paraId="578B3553" w14:textId="3217A645" w:rsidR="00304E51" w:rsidRDefault="00304E51" w:rsidP="00304E51">
      <w:r>
        <w:t xml:space="preserve">·    1 -  </w:t>
      </w:r>
      <w:hyperlink w:anchor="_RECOMMENDATIONS:_State_Funding" w:history="1">
        <w:r w:rsidRPr="00304E51">
          <w:rPr>
            <w:rStyle w:val="Hyperlink"/>
          </w:rPr>
          <w:t>State Funding for Outcomes</w:t>
        </w:r>
      </w:hyperlink>
    </w:p>
    <w:p w14:paraId="12898334" w14:textId="55EDD806" w:rsidR="00304E51" w:rsidRDefault="00304E51" w:rsidP="00304E51">
      <w:r>
        <w:t>·    2</w:t>
      </w:r>
      <w:r w:rsidR="00446E1C">
        <w:t xml:space="preserve"> </w:t>
      </w:r>
      <w:r>
        <w:t xml:space="preserve">-  </w:t>
      </w:r>
      <w:hyperlink w:anchor="_RECOMMENDATIONS:_Affordability_for" w:history="1">
        <w:r w:rsidRPr="00304E51">
          <w:rPr>
            <w:rStyle w:val="Hyperlink"/>
          </w:rPr>
          <w:t>Affordability for Students</w:t>
        </w:r>
      </w:hyperlink>
    </w:p>
    <w:p w14:paraId="407B1165" w14:textId="692B1AEC" w:rsidR="00304E51" w:rsidRDefault="00304E51" w:rsidP="00304E51">
      <w:r>
        <w:t xml:space="preserve">·    3 -  </w:t>
      </w:r>
      <w:hyperlink w:anchor="_RECOMMENDATIONS:_Investments_in" w:history="1">
        <w:r w:rsidRPr="00304E51">
          <w:rPr>
            <w:rStyle w:val="Hyperlink"/>
          </w:rPr>
          <w:t>Investments in College Capacity</w:t>
        </w:r>
      </w:hyperlink>
    </w:p>
    <w:p w14:paraId="64B8C5DC" w14:textId="77777777" w:rsidR="00304E51" w:rsidRDefault="00304E51" w:rsidP="00304E51"/>
    <w:p w14:paraId="4C572FAD" w14:textId="4710A5E3" w:rsidR="00304E51" w:rsidRDefault="00735101" w:rsidP="00304E51">
      <w:hyperlink w:anchor="_Conclusion" w:history="1">
        <w:r w:rsidR="00304E51" w:rsidRPr="00304E51">
          <w:rPr>
            <w:rStyle w:val="Hyperlink"/>
          </w:rPr>
          <w:t>Conclusion</w:t>
        </w:r>
      </w:hyperlink>
    </w:p>
    <w:p w14:paraId="4685C8E4" w14:textId="77777777" w:rsidR="00304E51" w:rsidRDefault="00304E51"/>
    <w:bookmarkStart w:id="2" w:name="_Letter_from_the_1"/>
    <w:bookmarkEnd w:id="2"/>
    <w:p w14:paraId="68B98C7F" w14:textId="7CBF4F2C" w:rsidR="00604087" w:rsidRDefault="00735101">
      <w:pPr>
        <w:rPr>
          <w:rStyle w:val="Hyperlink"/>
        </w:rPr>
      </w:pPr>
      <w:r>
        <w:fldChar w:fldCharType="begin"/>
      </w:r>
      <w:r>
        <w:instrText xml:space="preserve"> HYPERLINK \l "_Process_and_Approach" </w:instrText>
      </w:r>
      <w:r>
        <w:fldChar w:fldCharType="separate"/>
      </w:r>
      <w:r w:rsidR="00604087">
        <w:rPr>
          <w:rStyle w:val="Hyperlink"/>
        </w:rPr>
        <w:t>Appendix: Process and Approach</w:t>
      </w:r>
      <w:r>
        <w:rPr>
          <w:rStyle w:val="Hyperlink"/>
        </w:rPr>
        <w:fldChar w:fldCharType="end"/>
      </w:r>
    </w:p>
    <w:p w14:paraId="153256B7" w14:textId="77777777" w:rsidR="00604087" w:rsidRDefault="00604087">
      <w:pPr>
        <w:rPr>
          <w:rStyle w:val="Hyperlink"/>
        </w:rPr>
      </w:pPr>
    </w:p>
    <w:p w14:paraId="07533CA7" w14:textId="77777777" w:rsidR="00604087" w:rsidRDefault="00604087">
      <w:pPr>
        <w:rPr>
          <w:rStyle w:val="Hyperlink"/>
        </w:rPr>
      </w:pPr>
      <w:r>
        <w:rPr>
          <w:rStyle w:val="Hyperlink"/>
        </w:rPr>
        <w:t>Appendix: Bios &amp; Photos for the Commission Members</w:t>
      </w:r>
    </w:p>
    <w:p w14:paraId="718E83D8" w14:textId="77777777" w:rsidR="00604087" w:rsidRDefault="00604087">
      <w:pPr>
        <w:rPr>
          <w:rStyle w:val="Hyperlink"/>
        </w:rPr>
      </w:pPr>
    </w:p>
    <w:p w14:paraId="53F63519" w14:textId="35F88397" w:rsidR="00304E51" w:rsidRPr="00304E51" w:rsidRDefault="00604087">
      <w:r>
        <w:rPr>
          <w:rStyle w:val="Hyperlink"/>
        </w:rPr>
        <w:t>Appendix: Polling Results</w:t>
      </w:r>
      <w:r w:rsidR="00304E51">
        <w:rPr>
          <w:rFonts w:ascii="Avenir Next" w:hAnsi="Avenir Next"/>
          <w:b/>
          <w:bCs/>
        </w:rPr>
        <w:br w:type="page"/>
      </w:r>
    </w:p>
    <w:p w14:paraId="2198A719" w14:textId="451F11AF" w:rsidR="008D76C0" w:rsidRPr="00996DDA" w:rsidRDefault="008D76C0" w:rsidP="00EB52C5">
      <w:pPr>
        <w:pStyle w:val="Heading1"/>
        <w:jc w:val="center"/>
        <w:rPr>
          <w:rFonts w:ascii="Avenir Next" w:hAnsi="Avenir Next"/>
          <w:b/>
          <w:bCs/>
        </w:rPr>
      </w:pPr>
      <w:bookmarkStart w:id="3" w:name="_Letter_from_the_2"/>
      <w:bookmarkEnd w:id="3"/>
      <w:r w:rsidRPr="00EA06A1">
        <w:rPr>
          <w:rFonts w:ascii="Avenir Next" w:hAnsi="Avenir Next"/>
          <w:b/>
          <w:bCs/>
        </w:rPr>
        <w:t>Letter from the TXCCCF Chairman</w:t>
      </w:r>
    </w:p>
    <w:p w14:paraId="040122B0" w14:textId="6E2E76CA" w:rsidR="008D76C0" w:rsidRPr="00727D43" w:rsidRDefault="008D76C0" w:rsidP="00EB52C5">
      <w:pPr>
        <w:rPr>
          <w:rFonts w:ascii="Avenir Next" w:hAnsi="Avenir Next"/>
        </w:rPr>
      </w:pPr>
    </w:p>
    <w:p w14:paraId="07900ACA" w14:textId="77777777" w:rsidR="00AA2EDB" w:rsidRPr="00727D43" w:rsidRDefault="00AA2EDB" w:rsidP="00EB52C5">
      <w:pPr>
        <w:rPr>
          <w:rFonts w:ascii="Avenir Next" w:hAnsi="Avenir Next"/>
        </w:rPr>
      </w:pPr>
    </w:p>
    <w:p w14:paraId="1EF023BE" w14:textId="2A1E8B0A" w:rsidR="008D76C0" w:rsidRPr="00996DDA" w:rsidRDefault="008D76C0" w:rsidP="00EB52C5">
      <w:pPr>
        <w:rPr>
          <w:rFonts w:ascii="Avenir Next" w:hAnsi="Avenir Next"/>
          <w:sz w:val="22"/>
          <w:szCs w:val="22"/>
        </w:rPr>
      </w:pPr>
      <w:r w:rsidRPr="00727D43">
        <w:rPr>
          <w:rFonts w:ascii="Avenir Next" w:hAnsi="Avenir Next"/>
        </w:rPr>
        <w:tab/>
      </w:r>
      <w:r w:rsidRPr="00727D43">
        <w:rPr>
          <w:rFonts w:ascii="Avenir Next" w:hAnsi="Avenir Next"/>
        </w:rPr>
        <w:tab/>
      </w:r>
      <w:r w:rsidRPr="00727D43">
        <w:rPr>
          <w:rFonts w:ascii="Avenir Next" w:hAnsi="Avenir Next"/>
        </w:rPr>
        <w:tab/>
      </w:r>
      <w:r w:rsidRPr="00727D43">
        <w:rPr>
          <w:rFonts w:ascii="Avenir Next" w:hAnsi="Avenir Next"/>
        </w:rPr>
        <w:tab/>
      </w:r>
      <w:r w:rsidRPr="00727D43">
        <w:rPr>
          <w:rFonts w:ascii="Avenir Next" w:hAnsi="Avenir Next"/>
        </w:rPr>
        <w:tab/>
      </w:r>
      <w:r w:rsidRPr="00727D43">
        <w:rPr>
          <w:rFonts w:ascii="Avenir Next" w:hAnsi="Avenir Next"/>
        </w:rPr>
        <w:tab/>
      </w:r>
      <w:r w:rsidRPr="00727D43">
        <w:rPr>
          <w:rFonts w:ascii="Avenir Next" w:hAnsi="Avenir Next"/>
        </w:rPr>
        <w:tab/>
      </w:r>
      <w:r w:rsidRPr="00727D43">
        <w:rPr>
          <w:rFonts w:ascii="Avenir Next" w:hAnsi="Avenir Next"/>
        </w:rPr>
        <w:tab/>
      </w:r>
      <w:r w:rsidRPr="00727D43">
        <w:rPr>
          <w:rFonts w:ascii="Avenir Next" w:hAnsi="Avenir Next"/>
        </w:rPr>
        <w:tab/>
      </w:r>
      <w:r w:rsidRPr="00727D43">
        <w:rPr>
          <w:rFonts w:ascii="Avenir Next" w:hAnsi="Avenir Next"/>
        </w:rPr>
        <w:tab/>
      </w:r>
      <w:r w:rsidRPr="00996DDA">
        <w:rPr>
          <w:rFonts w:ascii="Avenir Next" w:hAnsi="Avenir Next"/>
          <w:sz w:val="22"/>
          <w:szCs w:val="22"/>
        </w:rPr>
        <w:t>October 2022</w:t>
      </w:r>
    </w:p>
    <w:p w14:paraId="47D70D79" w14:textId="77777777" w:rsidR="008D76C0" w:rsidRPr="00727D43" w:rsidRDefault="008D76C0" w:rsidP="00EB52C5">
      <w:pPr>
        <w:rPr>
          <w:rFonts w:ascii="Avenir Next" w:hAnsi="Avenir Next"/>
          <w:sz w:val="22"/>
          <w:szCs w:val="22"/>
        </w:rPr>
      </w:pPr>
    </w:p>
    <w:p w14:paraId="4A45BF6B" w14:textId="77777777" w:rsidR="00DF31DB" w:rsidRPr="00DF31DB" w:rsidRDefault="00DF31DB" w:rsidP="00DF31DB">
      <w:pPr>
        <w:rPr>
          <w:rFonts w:ascii="Avenir Next" w:hAnsi="Avenir Next"/>
          <w:sz w:val="22"/>
          <w:szCs w:val="22"/>
        </w:rPr>
      </w:pPr>
      <w:r w:rsidRPr="00DF31DB">
        <w:rPr>
          <w:rFonts w:ascii="Avenir Next" w:hAnsi="Avenir Next"/>
          <w:sz w:val="22"/>
          <w:szCs w:val="22"/>
        </w:rPr>
        <w:t>Dear members of the Texas Legislature,</w:t>
      </w:r>
    </w:p>
    <w:p w14:paraId="70CD3EAA" w14:textId="77777777" w:rsidR="00DF31DB" w:rsidRPr="00DF31DB" w:rsidRDefault="00DF31DB" w:rsidP="00DF31DB">
      <w:pPr>
        <w:rPr>
          <w:rFonts w:ascii="Avenir Next" w:hAnsi="Avenir Next"/>
          <w:sz w:val="22"/>
          <w:szCs w:val="22"/>
        </w:rPr>
      </w:pPr>
    </w:p>
    <w:p w14:paraId="0CE9F4F3" w14:textId="720165D4" w:rsidR="00DF31DB" w:rsidRPr="00DF31DB" w:rsidRDefault="00DF31DB" w:rsidP="00DF31DB">
      <w:pPr>
        <w:rPr>
          <w:rFonts w:ascii="Avenir Next" w:hAnsi="Avenir Next"/>
          <w:sz w:val="22"/>
          <w:szCs w:val="22"/>
        </w:rPr>
      </w:pPr>
      <w:r w:rsidRPr="00DF31DB">
        <w:rPr>
          <w:rFonts w:ascii="Avenir Next" w:hAnsi="Avenir Next"/>
          <w:sz w:val="22"/>
          <w:szCs w:val="22"/>
        </w:rPr>
        <w:t xml:space="preserve">Texas is thriving economically. We have the ninth largest economy in the world, and our employers are poised to create </w:t>
      </w:r>
      <w:r w:rsidR="00A95B5E">
        <w:rPr>
          <w:rFonts w:ascii="Avenir Next" w:hAnsi="Avenir Next"/>
          <w:sz w:val="22"/>
          <w:szCs w:val="22"/>
        </w:rPr>
        <w:t>millions</w:t>
      </w:r>
      <w:r w:rsidR="00A95B5E" w:rsidRPr="00DF31DB">
        <w:rPr>
          <w:rFonts w:ascii="Avenir Next" w:hAnsi="Avenir Next"/>
          <w:sz w:val="22"/>
          <w:szCs w:val="22"/>
        </w:rPr>
        <w:t xml:space="preserve"> </w:t>
      </w:r>
      <w:r w:rsidRPr="00DF31DB">
        <w:rPr>
          <w:rFonts w:ascii="Avenir Next" w:hAnsi="Avenir Next"/>
          <w:sz w:val="22"/>
          <w:szCs w:val="22"/>
        </w:rPr>
        <w:t xml:space="preserve">of new jobs in the coming </w:t>
      </w:r>
      <w:r w:rsidR="00A95B5E">
        <w:rPr>
          <w:rFonts w:ascii="Avenir Next" w:hAnsi="Avenir Next"/>
          <w:sz w:val="22"/>
          <w:szCs w:val="22"/>
        </w:rPr>
        <w:t>decade</w:t>
      </w:r>
      <w:r w:rsidRPr="00DF31DB">
        <w:rPr>
          <w:rFonts w:ascii="Avenir Next" w:hAnsi="Avenir Next"/>
          <w:sz w:val="22"/>
          <w:szCs w:val="22"/>
        </w:rPr>
        <w:t xml:space="preserve">, thanks to our favorable business climate. </w:t>
      </w:r>
    </w:p>
    <w:p w14:paraId="0666C50E" w14:textId="77777777" w:rsidR="00DF31DB" w:rsidRPr="00DF31DB" w:rsidRDefault="00DF31DB" w:rsidP="00DF31DB">
      <w:pPr>
        <w:rPr>
          <w:rFonts w:ascii="Avenir Next" w:hAnsi="Avenir Next"/>
          <w:sz w:val="22"/>
          <w:szCs w:val="22"/>
        </w:rPr>
      </w:pPr>
    </w:p>
    <w:p w14:paraId="2FA25519" w14:textId="77777777" w:rsidR="00DF31DB" w:rsidRPr="00DF31DB" w:rsidRDefault="00DF31DB" w:rsidP="00DF31DB">
      <w:pPr>
        <w:rPr>
          <w:rFonts w:ascii="Avenir Next" w:hAnsi="Avenir Next"/>
          <w:sz w:val="22"/>
          <w:szCs w:val="22"/>
        </w:rPr>
      </w:pPr>
      <w:r w:rsidRPr="00DF31DB">
        <w:rPr>
          <w:rFonts w:ascii="Avenir Next" w:hAnsi="Avenir Next"/>
          <w:sz w:val="22"/>
          <w:szCs w:val="22"/>
        </w:rPr>
        <w:t xml:space="preserve">But our workforce needs are changing, in our communities, across the state, and around the nation and world. More and more jobs require employees to have specific skills they can only get by earning certificates, degrees, and other credentials beyond their high school diplomas. </w:t>
      </w:r>
    </w:p>
    <w:p w14:paraId="01A75D9A" w14:textId="77777777" w:rsidR="00DF31DB" w:rsidRPr="00DF31DB" w:rsidRDefault="00DF31DB" w:rsidP="00DF31DB">
      <w:pPr>
        <w:rPr>
          <w:rFonts w:ascii="Avenir Next" w:hAnsi="Avenir Next"/>
          <w:sz w:val="22"/>
          <w:szCs w:val="22"/>
        </w:rPr>
      </w:pPr>
    </w:p>
    <w:p w14:paraId="0CBE954B" w14:textId="69675789" w:rsidR="00DF31DB" w:rsidRPr="00DF31DB" w:rsidRDefault="00DF31DB" w:rsidP="00DF31DB">
      <w:pPr>
        <w:rPr>
          <w:rFonts w:ascii="Avenir Next" w:hAnsi="Avenir Next"/>
          <w:sz w:val="22"/>
          <w:szCs w:val="22"/>
        </w:rPr>
      </w:pPr>
      <w:r w:rsidRPr="00DF31DB">
        <w:rPr>
          <w:rFonts w:ascii="Avenir Next" w:hAnsi="Avenir Next"/>
          <w:sz w:val="22"/>
          <w:szCs w:val="22"/>
        </w:rPr>
        <w:t xml:space="preserve">The competitiveness of our state increasingly depends not only on the number of jobs but also the quality of jobs we create and attract. Texas community colleges play key roles in helping Texans earn the credentials required for good, </w:t>
      </w:r>
      <w:r w:rsidR="0069463B">
        <w:rPr>
          <w:rFonts w:ascii="Avenir Next" w:hAnsi="Avenir Next"/>
          <w:sz w:val="22"/>
          <w:szCs w:val="22"/>
        </w:rPr>
        <w:t>self-sufficient</w:t>
      </w:r>
      <w:r w:rsidRPr="00DF31DB">
        <w:rPr>
          <w:rFonts w:ascii="Avenir Next" w:hAnsi="Avenir Next"/>
          <w:sz w:val="22"/>
          <w:szCs w:val="22"/>
        </w:rPr>
        <w:t xml:space="preserve"> jobs. </w:t>
      </w:r>
    </w:p>
    <w:p w14:paraId="06722881" w14:textId="77777777" w:rsidR="00DF31DB" w:rsidRPr="00DF31DB" w:rsidRDefault="00DF31DB" w:rsidP="00DF31DB">
      <w:pPr>
        <w:rPr>
          <w:rFonts w:ascii="Avenir Next" w:hAnsi="Avenir Next"/>
          <w:sz w:val="22"/>
          <w:szCs w:val="22"/>
        </w:rPr>
      </w:pPr>
    </w:p>
    <w:p w14:paraId="64889C10" w14:textId="2E6BAE25" w:rsidR="00DF31DB" w:rsidRPr="00DF31DB" w:rsidRDefault="00DF31DB" w:rsidP="00DF31DB">
      <w:pPr>
        <w:rPr>
          <w:rFonts w:ascii="Avenir Next" w:hAnsi="Avenir Next"/>
          <w:sz w:val="22"/>
          <w:szCs w:val="22"/>
        </w:rPr>
      </w:pPr>
      <w:r w:rsidRPr="00DF31DB">
        <w:rPr>
          <w:rFonts w:ascii="Avenir Next" w:hAnsi="Avenir Next"/>
          <w:sz w:val="22"/>
          <w:szCs w:val="22"/>
        </w:rPr>
        <w:t xml:space="preserve">Along with the other members of the Texas Commission on Community College Finance, I have spent the past year looking at this changing economic landscape and how our 50 community colleges can support the state’s workforce. </w:t>
      </w:r>
    </w:p>
    <w:p w14:paraId="67D80709" w14:textId="77777777" w:rsidR="00DF31DB" w:rsidRPr="00DF31DB" w:rsidRDefault="00DF31DB" w:rsidP="00DF31DB">
      <w:pPr>
        <w:rPr>
          <w:rFonts w:ascii="Avenir Next" w:hAnsi="Avenir Next"/>
          <w:sz w:val="22"/>
          <w:szCs w:val="22"/>
        </w:rPr>
      </w:pPr>
    </w:p>
    <w:p w14:paraId="6592D81B" w14:textId="77777777" w:rsidR="00DF31DB" w:rsidRPr="00DF31DB" w:rsidRDefault="00DF31DB" w:rsidP="00DF31DB">
      <w:pPr>
        <w:rPr>
          <w:rFonts w:ascii="Avenir Next" w:hAnsi="Avenir Next"/>
          <w:sz w:val="22"/>
          <w:szCs w:val="22"/>
        </w:rPr>
      </w:pPr>
      <w:r w:rsidRPr="00DF31DB">
        <w:rPr>
          <w:rFonts w:ascii="Avenir Next" w:hAnsi="Avenir Next"/>
          <w:sz w:val="22"/>
          <w:szCs w:val="22"/>
        </w:rPr>
        <w:t>The Commission quickly recognized two big challenges to meeting these workforce needs and maintaining our economic momentum.</w:t>
      </w:r>
    </w:p>
    <w:p w14:paraId="4D797CF8" w14:textId="77777777" w:rsidR="00DF31DB" w:rsidRPr="00DF31DB" w:rsidRDefault="00DF31DB" w:rsidP="00DF31DB">
      <w:pPr>
        <w:rPr>
          <w:rFonts w:ascii="Avenir Next" w:hAnsi="Avenir Next"/>
          <w:sz w:val="22"/>
          <w:szCs w:val="22"/>
        </w:rPr>
      </w:pPr>
    </w:p>
    <w:p w14:paraId="48BC04EB" w14:textId="77777777" w:rsidR="00DF31DB" w:rsidRPr="00DF31DB" w:rsidRDefault="00DF31DB" w:rsidP="00DF31DB">
      <w:pPr>
        <w:rPr>
          <w:rFonts w:ascii="Avenir Next" w:hAnsi="Avenir Next"/>
          <w:sz w:val="22"/>
          <w:szCs w:val="22"/>
        </w:rPr>
      </w:pPr>
      <w:r w:rsidRPr="00DF31DB">
        <w:rPr>
          <w:rFonts w:ascii="Avenir Next" w:hAnsi="Avenir Next"/>
          <w:sz w:val="22"/>
          <w:szCs w:val="22"/>
        </w:rPr>
        <w:t>First, outside our state borders, Texas is competing with other states and nations that are facing the same pressures. Those areas are actively investing in workforce education to increase their share of new jobs and economic growth.</w:t>
      </w:r>
    </w:p>
    <w:p w14:paraId="70158881" w14:textId="77777777" w:rsidR="00DF31DB" w:rsidRPr="00DF31DB" w:rsidRDefault="00DF31DB" w:rsidP="00DF31DB">
      <w:pPr>
        <w:rPr>
          <w:rFonts w:ascii="Avenir Next" w:hAnsi="Avenir Next"/>
          <w:sz w:val="22"/>
          <w:szCs w:val="22"/>
        </w:rPr>
      </w:pPr>
    </w:p>
    <w:p w14:paraId="0522B49A" w14:textId="77777777" w:rsidR="00DF31DB" w:rsidRPr="00DF31DB" w:rsidRDefault="00DF31DB" w:rsidP="00DF31DB">
      <w:pPr>
        <w:rPr>
          <w:rFonts w:ascii="Avenir Next" w:hAnsi="Avenir Next"/>
          <w:sz w:val="22"/>
          <w:szCs w:val="22"/>
        </w:rPr>
      </w:pPr>
      <w:r w:rsidRPr="00DF31DB">
        <w:rPr>
          <w:rFonts w:ascii="Avenir Next" w:hAnsi="Avenir Next"/>
          <w:sz w:val="22"/>
          <w:szCs w:val="22"/>
        </w:rPr>
        <w:t>Second, inside our borders, the demand for jobs that require post-secondary credentials is highly concentrated in about 10 of our 254 counties — while the potential workforce to fill these jobs is spread across the state, in urban, rural, and suburban areas.</w:t>
      </w:r>
    </w:p>
    <w:p w14:paraId="1F77359D" w14:textId="77777777" w:rsidR="00DF31DB" w:rsidRPr="00DF31DB" w:rsidRDefault="00DF31DB" w:rsidP="00DF31DB">
      <w:pPr>
        <w:rPr>
          <w:rFonts w:ascii="Avenir Next" w:hAnsi="Avenir Next"/>
          <w:sz w:val="22"/>
          <w:szCs w:val="22"/>
        </w:rPr>
      </w:pPr>
    </w:p>
    <w:p w14:paraId="3B508E52" w14:textId="77777777" w:rsidR="00DF31DB" w:rsidRPr="00DF31DB" w:rsidRDefault="00DF31DB" w:rsidP="00DF31DB">
      <w:pPr>
        <w:rPr>
          <w:rFonts w:ascii="Avenir Next" w:hAnsi="Avenir Next"/>
          <w:sz w:val="22"/>
          <w:szCs w:val="22"/>
        </w:rPr>
      </w:pPr>
      <w:r w:rsidRPr="00DF31DB">
        <w:rPr>
          <w:rFonts w:ascii="Avenir Next" w:hAnsi="Avenir Next"/>
          <w:sz w:val="22"/>
          <w:szCs w:val="22"/>
        </w:rPr>
        <w:t xml:space="preserve">To solve these challenges, being incremental is not enough. We need to be bold. </w:t>
      </w:r>
    </w:p>
    <w:p w14:paraId="1C70A1CE" w14:textId="77777777" w:rsidR="00DF31DB" w:rsidRPr="00DF31DB" w:rsidRDefault="00DF31DB" w:rsidP="00DF31DB">
      <w:pPr>
        <w:rPr>
          <w:rFonts w:ascii="Avenir Next" w:hAnsi="Avenir Next"/>
          <w:sz w:val="22"/>
          <w:szCs w:val="22"/>
        </w:rPr>
      </w:pPr>
    </w:p>
    <w:p w14:paraId="27FC104A" w14:textId="5B8E5FA4" w:rsidR="00DF31DB" w:rsidRPr="00DF31DB" w:rsidRDefault="00DF31DB" w:rsidP="00DF31DB">
      <w:pPr>
        <w:rPr>
          <w:rFonts w:ascii="Avenir Next" w:hAnsi="Avenir Next"/>
          <w:sz w:val="22"/>
          <w:szCs w:val="22"/>
        </w:rPr>
      </w:pPr>
      <w:r w:rsidRPr="00DF31DB">
        <w:rPr>
          <w:rFonts w:ascii="Avenir Next" w:hAnsi="Avenir Next"/>
          <w:sz w:val="22"/>
          <w:szCs w:val="22"/>
        </w:rPr>
        <w:t>We need a funding model for our 50 community college districts that is strategic, deliberately aligned with our emerging workforce needs, and that fosters a strong partnership between local community colleges and the state. This new funding model must empower colleges across the state to support local employers who rely on a talented workforce. It must also ensure more Texas students enroll in and complete degrees, certificates, and other credentials that translate into value and opportunity in the state economy.</w:t>
      </w:r>
    </w:p>
    <w:p w14:paraId="684E0343" w14:textId="77777777" w:rsidR="00DF31DB" w:rsidRPr="00DF31DB" w:rsidRDefault="00DF31DB" w:rsidP="00DF31DB">
      <w:pPr>
        <w:rPr>
          <w:rFonts w:ascii="Avenir Next" w:hAnsi="Avenir Next"/>
          <w:sz w:val="22"/>
          <w:szCs w:val="22"/>
        </w:rPr>
      </w:pPr>
    </w:p>
    <w:p w14:paraId="13E01ACD" w14:textId="630EBF2E" w:rsidR="00DF31DB" w:rsidRPr="00DF31DB" w:rsidRDefault="00DF31DB" w:rsidP="00DF31DB">
      <w:pPr>
        <w:rPr>
          <w:rFonts w:ascii="Avenir Next" w:hAnsi="Avenir Next"/>
          <w:sz w:val="22"/>
          <w:szCs w:val="22"/>
        </w:rPr>
      </w:pPr>
      <w:r w:rsidRPr="00DF31DB">
        <w:rPr>
          <w:rFonts w:ascii="Avenir Next" w:hAnsi="Avenir Next"/>
          <w:sz w:val="22"/>
          <w:szCs w:val="22"/>
        </w:rPr>
        <w:t>Our commission believes the new funding model must do three things: reward colleges for positive outcomes</w:t>
      </w:r>
      <w:r w:rsidR="003E139D">
        <w:rPr>
          <w:rFonts w:ascii="Avenir Next" w:hAnsi="Avenir Next"/>
          <w:sz w:val="22"/>
          <w:szCs w:val="22"/>
        </w:rPr>
        <w:t>,</w:t>
      </w:r>
      <w:r w:rsidRPr="00DF31DB">
        <w:rPr>
          <w:rFonts w:ascii="Avenir Next" w:hAnsi="Avenir Next"/>
          <w:sz w:val="22"/>
          <w:szCs w:val="22"/>
        </w:rPr>
        <w:t xml:space="preserve"> especially in credential completion and transfer, ensure equitable access through financial aid, and help community colleges increase capacity to meet rapidly changing workforce needs. </w:t>
      </w:r>
    </w:p>
    <w:p w14:paraId="1770EECF" w14:textId="77777777" w:rsidR="00DF31DB" w:rsidRPr="00DF31DB" w:rsidRDefault="00DF31DB" w:rsidP="00DF31DB">
      <w:pPr>
        <w:rPr>
          <w:rFonts w:ascii="Avenir Next" w:hAnsi="Avenir Next"/>
          <w:sz w:val="22"/>
          <w:szCs w:val="22"/>
        </w:rPr>
      </w:pPr>
    </w:p>
    <w:p w14:paraId="628647D9" w14:textId="77777777" w:rsidR="00DF31DB" w:rsidRPr="00DF31DB" w:rsidRDefault="00DF31DB" w:rsidP="00DF31DB">
      <w:pPr>
        <w:rPr>
          <w:rFonts w:ascii="Avenir Next" w:hAnsi="Avenir Next"/>
          <w:sz w:val="22"/>
          <w:szCs w:val="22"/>
        </w:rPr>
      </w:pPr>
      <w:r w:rsidRPr="00DF31DB">
        <w:rPr>
          <w:rFonts w:ascii="Avenir Next" w:hAnsi="Avenir Next"/>
          <w:sz w:val="22"/>
          <w:szCs w:val="22"/>
        </w:rPr>
        <w:t xml:space="preserve">Chairing this commission and developing these recommendations has been a highlight of my many years of public service. I am honored Governor Greg Abbott asked me to take on this challenging yet important role to help prepare Texas for an even stronger future. </w:t>
      </w:r>
    </w:p>
    <w:p w14:paraId="547F4911" w14:textId="77777777" w:rsidR="00DF31DB" w:rsidRPr="00DF31DB" w:rsidRDefault="00DF31DB" w:rsidP="00DF31DB">
      <w:pPr>
        <w:rPr>
          <w:rFonts w:ascii="Avenir Next" w:hAnsi="Avenir Next"/>
          <w:sz w:val="22"/>
          <w:szCs w:val="22"/>
        </w:rPr>
      </w:pPr>
    </w:p>
    <w:p w14:paraId="3222E6F8" w14:textId="1D6C4958" w:rsidR="00DF31DB" w:rsidRPr="00DF31DB" w:rsidRDefault="00DF31DB" w:rsidP="00DF31DB">
      <w:pPr>
        <w:rPr>
          <w:rFonts w:ascii="Avenir Next" w:hAnsi="Avenir Next"/>
          <w:sz w:val="22"/>
          <w:szCs w:val="22"/>
        </w:rPr>
      </w:pPr>
      <w:r w:rsidRPr="00DF31DB">
        <w:rPr>
          <w:rFonts w:ascii="Avenir Next" w:hAnsi="Avenir Next"/>
          <w:sz w:val="22"/>
          <w:szCs w:val="22"/>
        </w:rPr>
        <w:t xml:space="preserve">Working with my fellow members — lawmakers, community college leaders, and policy experts — I drew from my decades in business and higher education to better understand Texas community colleges’ opportunities to develop an increasingly talented workforce. </w:t>
      </w:r>
    </w:p>
    <w:p w14:paraId="0003911D" w14:textId="77777777" w:rsidR="00DF31DB" w:rsidRPr="00DF31DB" w:rsidRDefault="00DF31DB" w:rsidP="00DF31DB">
      <w:pPr>
        <w:rPr>
          <w:rFonts w:ascii="Avenir Next" w:hAnsi="Avenir Next"/>
          <w:sz w:val="22"/>
          <w:szCs w:val="22"/>
        </w:rPr>
      </w:pPr>
    </w:p>
    <w:p w14:paraId="23E2B0EC" w14:textId="77777777" w:rsidR="00DF31DB" w:rsidRPr="00DF31DB" w:rsidRDefault="00DF31DB" w:rsidP="00DF31DB">
      <w:pPr>
        <w:rPr>
          <w:rFonts w:ascii="Avenir Next" w:hAnsi="Avenir Next"/>
          <w:sz w:val="22"/>
          <w:szCs w:val="22"/>
        </w:rPr>
      </w:pPr>
      <w:r w:rsidRPr="00DF31DB">
        <w:rPr>
          <w:rFonts w:ascii="Avenir Next" w:hAnsi="Avenir Next"/>
          <w:sz w:val="22"/>
          <w:szCs w:val="22"/>
        </w:rPr>
        <w:t xml:space="preserve">Our goal is for every state dollar for community colleges to be tied to the goals outlined in </w:t>
      </w:r>
      <w:r w:rsidRPr="00A504F9">
        <w:rPr>
          <w:rFonts w:ascii="Avenir Next" w:hAnsi="Avenir Next"/>
          <w:i/>
          <w:iCs/>
          <w:sz w:val="22"/>
          <w:szCs w:val="22"/>
        </w:rPr>
        <w:t>Building a Talent Strong Texas</w:t>
      </w:r>
      <w:r w:rsidRPr="00DF31DB">
        <w:rPr>
          <w:rFonts w:ascii="Avenir Next" w:hAnsi="Avenir Next"/>
          <w:sz w:val="22"/>
          <w:szCs w:val="22"/>
        </w:rPr>
        <w:t xml:space="preserve">, the state’s new strategic plan for higher education, and to translate into greater opportunities for individual Texans and more high-performing employees for the workforce. The recommendations in this report are designed to directly support our students, families, colleges, and employers. </w:t>
      </w:r>
    </w:p>
    <w:p w14:paraId="4AAA07BB" w14:textId="77777777" w:rsidR="00DF31DB" w:rsidRPr="00DF31DB" w:rsidRDefault="00DF31DB" w:rsidP="00DF31DB">
      <w:pPr>
        <w:rPr>
          <w:rFonts w:ascii="Avenir Next" w:hAnsi="Avenir Next"/>
          <w:sz w:val="22"/>
          <w:szCs w:val="22"/>
        </w:rPr>
      </w:pPr>
    </w:p>
    <w:p w14:paraId="77F768DC" w14:textId="77777777" w:rsidR="00DF31DB" w:rsidRPr="00DF31DB" w:rsidRDefault="00DF31DB" w:rsidP="00DF31DB">
      <w:pPr>
        <w:rPr>
          <w:rFonts w:ascii="Avenir Next" w:hAnsi="Avenir Next"/>
          <w:sz w:val="22"/>
          <w:szCs w:val="22"/>
        </w:rPr>
      </w:pPr>
      <w:r w:rsidRPr="00DF31DB">
        <w:rPr>
          <w:rFonts w:ascii="Avenir Next" w:hAnsi="Avenir Next"/>
          <w:sz w:val="22"/>
          <w:szCs w:val="22"/>
        </w:rPr>
        <w:t xml:space="preserve">As you’ll read throughout this report, Texas’ highest priority must be to develop a competitive workforce for the future. If we can achieve that, it will help us solve the other challenges we will face in the mid-21st Century and secure our quality of life into the future for our children and grandchildren. </w:t>
      </w:r>
    </w:p>
    <w:p w14:paraId="697EB2DC" w14:textId="77777777" w:rsidR="00DF31DB" w:rsidRPr="00DF31DB" w:rsidRDefault="00DF31DB" w:rsidP="00DF31DB">
      <w:pPr>
        <w:rPr>
          <w:rFonts w:ascii="Avenir Next" w:hAnsi="Avenir Next"/>
          <w:sz w:val="22"/>
          <w:szCs w:val="22"/>
        </w:rPr>
      </w:pPr>
    </w:p>
    <w:p w14:paraId="3CA09457" w14:textId="77777777" w:rsidR="00DF31DB" w:rsidRPr="00DF31DB" w:rsidRDefault="00DF31DB" w:rsidP="00DF31DB">
      <w:pPr>
        <w:rPr>
          <w:rFonts w:ascii="Avenir Next" w:hAnsi="Avenir Next"/>
          <w:sz w:val="22"/>
          <w:szCs w:val="22"/>
        </w:rPr>
      </w:pPr>
      <w:r w:rsidRPr="00DF31DB">
        <w:rPr>
          <w:rFonts w:ascii="Avenir Next" w:hAnsi="Avenir Next"/>
          <w:sz w:val="22"/>
          <w:szCs w:val="22"/>
        </w:rPr>
        <w:t xml:space="preserve">Woody Hunt </w:t>
      </w:r>
    </w:p>
    <w:p w14:paraId="77678F17" w14:textId="77777777" w:rsidR="00DF31DB" w:rsidRPr="00DF31DB" w:rsidRDefault="00DF31DB" w:rsidP="00DF31DB">
      <w:pPr>
        <w:rPr>
          <w:rFonts w:ascii="Avenir Next" w:hAnsi="Avenir Next"/>
          <w:sz w:val="22"/>
          <w:szCs w:val="22"/>
        </w:rPr>
      </w:pPr>
      <w:r w:rsidRPr="00DF31DB">
        <w:rPr>
          <w:rFonts w:ascii="Avenir Next" w:hAnsi="Avenir Next"/>
          <w:sz w:val="22"/>
          <w:szCs w:val="22"/>
        </w:rPr>
        <w:t>El Paso</w:t>
      </w:r>
    </w:p>
    <w:p w14:paraId="5AE95C1E" w14:textId="77777777" w:rsidR="00DF31DB" w:rsidRPr="00DF31DB" w:rsidRDefault="00DF31DB" w:rsidP="00DF31DB">
      <w:pPr>
        <w:rPr>
          <w:rFonts w:ascii="Avenir Next" w:hAnsi="Avenir Next"/>
          <w:sz w:val="22"/>
          <w:szCs w:val="22"/>
        </w:rPr>
      </w:pPr>
    </w:p>
    <w:p w14:paraId="457FC0FE" w14:textId="77777777" w:rsidR="00DF31DB" w:rsidRPr="00DF31DB" w:rsidRDefault="00DF31DB" w:rsidP="00DF31DB">
      <w:pPr>
        <w:rPr>
          <w:rFonts w:ascii="Avenir Next" w:hAnsi="Avenir Next"/>
          <w:sz w:val="22"/>
          <w:szCs w:val="22"/>
        </w:rPr>
      </w:pPr>
    </w:p>
    <w:p w14:paraId="33A21EBD" w14:textId="1A4D9B2E" w:rsidR="008D76C0" w:rsidRPr="00924F33" w:rsidRDefault="008D76C0" w:rsidP="00EB52C5">
      <w:pPr>
        <w:rPr>
          <w:rFonts w:ascii="Avenir Next" w:hAnsi="Avenir Next"/>
        </w:rPr>
      </w:pPr>
      <w:r w:rsidRPr="00996DDA">
        <w:rPr>
          <w:rFonts w:ascii="Avenir Next" w:hAnsi="Avenir Next"/>
        </w:rPr>
        <w:br w:type="page"/>
      </w:r>
      <w:bookmarkStart w:id="4" w:name="_Executive_Summary/one-page_overview"/>
      <w:bookmarkEnd w:id="4"/>
    </w:p>
    <w:p w14:paraId="7EF40227" w14:textId="4CD4238D" w:rsidR="005D2BF5" w:rsidRPr="00996DDA" w:rsidRDefault="00181D9D" w:rsidP="00FB6A31">
      <w:pPr>
        <w:pStyle w:val="Heading1"/>
        <w:jc w:val="center"/>
        <w:rPr>
          <w:rFonts w:ascii="Avenir Next" w:hAnsi="Avenir Next"/>
          <w:b/>
          <w:bCs/>
        </w:rPr>
      </w:pPr>
      <w:bookmarkStart w:id="5" w:name="_Background_to_the"/>
      <w:bookmarkEnd w:id="5"/>
      <w:r w:rsidRPr="00996DDA">
        <w:rPr>
          <w:rFonts w:ascii="Avenir Next" w:hAnsi="Avenir Next"/>
          <w:b/>
          <w:bCs/>
        </w:rPr>
        <w:t xml:space="preserve">Background </w:t>
      </w:r>
      <w:r w:rsidR="00E34A25" w:rsidRPr="00996DDA">
        <w:rPr>
          <w:rFonts w:ascii="Avenir Next" w:hAnsi="Avenir Next"/>
          <w:b/>
          <w:bCs/>
        </w:rPr>
        <w:t>to the TXCCCF Recommendations</w:t>
      </w:r>
    </w:p>
    <w:p w14:paraId="10130AD4" w14:textId="6AC76844" w:rsidR="00217773" w:rsidRPr="00996DDA" w:rsidRDefault="00217773" w:rsidP="00EB52C5">
      <w:pPr>
        <w:rPr>
          <w:rFonts w:ascii="Avenir Next" w:hAnsi="Avenir Next" w:cstheme="minorHAnsi"/>
        </w:rPr>
      </w:pPr>
    </w:p>
    <w:p w14:paraId="503390FE" w14:textId="77777777" w:rsidR="00A359F5" w:rsidRDefault="00A359F5" w:rsidP="00A359F5">
      <w:pPr>
        <w:rPr>
          <w:rFonts w:ascii="Avenir Next" w:hAnsi="Avenir Next" w:cstheme="minorHAnsi"/>
          <w:sz w:val="22"/>
          <w:szCs w:val="22"/>
        </w:rPr>
      </w:pPr>
    </w:p>
    <w:p w14:paraId="111998D5" w14:textId="2CC794D2" w:rsidR="0032519B" w:rsidRDefault="005C072A" w:rsidP="007F2F03">
      <w:pPr>
        <w:rPr>
          <w:rFonts w:ascii="Avenir Next" w:hAnsi="Avenir Next" w:cstheme="minorHAnsi"/>
          <w:sz w:val="22"/>
          <w:szCs w:val="22"/>
        </w:rPr>
      </w:pPr>
      <w:r w:rsidRPr="00996DDA">
        <w:rPr>
          <w:rFonts w:ascii="Avenir Next" w:hAnsi="Avenir Next" w:cstheme="minorHAnsi"/>
          <w:sz w:val="22"/>
          <w:szCs w:val="22"/>
        </w:rPr>
        <w:t xml:space="preserve">Under </w:t>
      </w:r>
      <w:r w:rsidR="003B7D58">
        <w:rPr>
          <w:rFonts w:ascii="Avenir Next" w:hAnsi="Avenir Next" w:cstheme="minorHAnsi"/>
          <w:sz w:val="22"/>
          <w:szCs w:val="22"/>
        </w:rPr>
        <w:t>the current</w:t>
      </w:r>
      <w:r w:rsidR="003B7D58" w:rsidRPr="00996DDA">
        <w:rPr>
          <w:rFonts w:ascii="Avenir Next" w:hAnsi="Avenir Next" w:cstheme="minorHAnsi"/>
          <w:sz w:val="22"/>
          <w:szCs w:val="22"/>
        </w:rPr>
        <w:t xml:space="preserve"> </w:t>
      </w:r>
      <w:r w:rsidR="003B7D58">
        <w:rPr>
          <w:rFonts w:ascii="Avenir Next" w:hAnsi="Avenir Next" w:cstheme="minorHAnsi"/>
          <w:sz w:val="22"/>
          <w:szCs w:val="22"/>
        </w:rPr>
        <w:t>Texas community college funding</w:t>
      </w:r>
      <w:r w:rsidR="003B7D58" w:rsidRPr="00996DDA">
        <w:rPr>
          <w:rFonts w:ascii="Avenir Next" w:hAnsi="Avenir Next" w:cstheme="minorHAnsi"/>
          <w:sz w:val="22"/>
          <w:szCs w:val="22"/>
        </w:rPr>
        <w:t xml:space="preserve"> </w:t>
      </w:r>
      <w:r w:rsidR="00784FCA" w:rsidRPr="00996DDA">
        <w:rPr>
          <w:rFonts w:ascii="Avenir Next" w:hAnsi="Avenir Next" w:cstheme="minorHAnsi"/>
          <w:sz w:val="22"/>
          <w:szCs w:val="22"/>
        </w:rPr>
        <w:t>model</w:t>
      </w:r>
      <w:r w:rsidRPr="00996DDA">
        <w:rPr>
          <w:rFonts w:ascii="Avenir Next" w:hAnsi="Avenir Next" w:cstheme="minorHAnsi"/>
          <w:sz w:val="22"/>
          <w:szCs w:val="22"/>
        </w:rPr>
        <w:t xml:space="preserve">, </w:t>
      </w:r>
      <w:r w:rsidR="003B7D58">
        <w:rPr>
          <w:rFonts w:ascii="Avenir Next" w:hAnsi="Avenir Next" w:cstheme="minorHAnsi"/>
          <w:sz w:val="22"/>
          <w:szCs w:val="22"/>
        </w:rPr>
        <w:t>the majority</w:t>
      </w:r>
      <w:r w:rsidR="003B7D58" w:rsidRPr="00996DDA">
        <w:rPr>
          <w:rFonts w:ascii="Avenir Next" w:hAnsi="Avenir Next" w:cstheme="minorHAnsi"/>
          <w:sz w:val="22"/>
          <w:szCs w:val="22"/>
        </w:rPr>
        <w:t xml:space="preserve"> </w:t>
      </w:r>
      <w:r w:rsidR="002C7332" w:rsidRPr="00996DDA">
        <w:rPr>
          <w:rFonts w:ascii="Avenir Next" w:hAnsi="Avenir Next" w:cstheme="minorHAnsi"/>
          <w:sz w:val="22"/>
          <w:szCs w:val="22"/>
        </w:rPr>
        <w:t>of</w:t>
      </w:r>
      <w:r w:rsidR="0032519B">
        <w:rPr>
          <w:rFonts w:ascii="Avenir Next" w:hAnsi="Avenir Next" w:cstheme="minorHAnsi"/>
          <w:sz w:val="22"/>
          <w:szCs w:val="22"/>
        </w:rPr>
        <w:t xml:space="preserve"> </w:t>
      </w:r>
      <w:r w:rsidR="002C7332" w:rsidRPr="00996DDA">
        <w:rPr>
          <w:rFonts w:ascii="Avenir Next" w:hAnsi="Avenir Next" w:cstheme="minorHAnsi"/>
          <w:sz w:val="22"/>
          <w:szCs w:val="22"/>
        </w:rPr>
        <w:t>funding is generated</w:t>
      </w:r>
      <w:r w:rsidRPr="00996DDA">
        <w:rPr>
          <w:rFonts w:ascii="Avenir Next" w:hAnsi="Avenir Next" w:cstheme="minorHAnsi"/>
          <w:sz w:val="22"/>
          <w:szCs w:val="22"/>
        </w:rPr>
        <w:t xml:space="preserve"> </w:t>
      </w:r>
      <w:r w:rsidR="00AA2DD4">
        <w:rPr>
          <w:rFonts w:ascii="Avenir Next" w:hAnsi="Avenir Next" w:cstheme="minorHAnsi"/>
          <w:sz w:val="22"/>
          <w:szCs w:val="22"/>
        </w:rPr>
        <w:t>by</w:t>
      </w:r>
      <w:r w:rsidR="00AA2DD4" w:rsidRPr="00996DDA">
        <w:rPr>
          <w:rFonts w:ascii="Avenir Next" w:hAnsi="Avenir Next" w:cstheme="minorHAnsi"/>
          <w:sz w:val="22"/>
          <w:szCs w:val="22"/>
        </w:rPr>
        <w:t xml:space="preserve"> </w:t>
      </w:r>
      <w:r w:rsidR="00A52C6B">
        <w:rPr>
          <w:rFonts w:ascii="Avenir Next" w:hAnsi="Avenir Next" w:cstheme="minorHAnsi"/>
          <w:sz w:val="22"/>
          <w:szCs w:val="22"/>
        </w:rPr>
        <w:t xml:space="preserve">tuition and </w:t>
      </w:r>
      <w:r w:rsidR="003B7D58">
        <w:rPr>
          <w:rFonts w:ascii="Avenir Next" w:hAnsi="Avenir Next" w:cstheme="minorHAnsi"/>
          <w:sz w:val="22"/>
          <w:szCs w:val="22"/>
        </w:rPr>
        <w:t xml:space="preserve">property </w:t>
      </w:r>
      <w:r w:rsidRPr="00996DDA">
        <w:rPr>
          <w:rFonts w:ascii="Avenir Next" w:hAnsi="Avenir Next" w:cstheme="minorHAnsi"/>
          <w:sz w:val="22"/>
          <w:szCs w:val="22"/>
        </w:rPr>
        <w:t>tax</w:t>
      </w:r>
      <w:r w:rsidR="002C7332" w:rsidRPr="00996DDA">
        <w:rPr>
          <w:rFonts w:ascii="Avenir Next" w:hAnsi="Avenir Next" w:cstheme="minorHAnsi"/>
          <w:sz w:val="22"/>
          <w:szCs w:val="22"/>
        </w:rPr>
        <w:t>es</w:t>
      </w:r>
      <w:r w:rsidR="00C61BBA" w:rsidRPr="00996DDA">
        <w:rPr>
          <w:rFonts w:ascii="Avenir Next" w:hAnsi="Avenir Next" w:cstheme="minorHAnsi"/>
          <w:sz w:val="22"/>
          <w:szCs w:val="22"/>
        </w:rPr>
        <w:t xml:space="preserve">, which are </w:t>
      </w:r>
      <w:r w:rsidR="008C49E8" w:rsidRPr="00996DDA">
        <w:rPr>
          <w:rFonts w:ascii="Avenir Next" w:hAnsi="Avenir Next" w:cstheme="minorHAnsi"/>
          <w:sz w:val="22"/>
          <w:szCs w:val="22"/>
        </w:rPr>
        <w:t>set and collected</w:t>
      </w:r>
      <w:r w:rsidR="00C61BBA" w:rsidRPr="00996DDA">
        <w:rPr>
          <w:rFonts w:ascii="Avenir Next" w:hAnsi="Avenir Next" w:cstheme="minorHAnsi"/>
          <w:sz w:val="22"/>
          <w:szCs w:val="22"/>
        </w:rPr>
        <w:t xml:space="preserve"> locally</w:t>
      </w:r>
      <w:r w:rsidR="002C7332" w:rsidRPr="00996DDA">
        <w:rPr>
          <w:rFonts w:ascii="Avenir Next" w:hAnsi="Avenir Next" w:cstheme="minorHAnsi"/>
          <w:sz w:val="22"/>
          <w:szCs w:val="22"/>
        </w:rPr>
        <w:t>. Colleges</w:t>
      </w:r>
      <w:r w:rsidR="003B7D58">
        <w:rPr>
          <w:rFonts w:ascii="Avenir Next" w:hAnsi="Avenir Next" w:cstheme="minorHAnsi"/>
          <w:sz w:val="22"/>
          <w:szCs w:val="22"/>
        </w:rPr>
        <w:t>’ elected boards of trustees</w:t>
      </w:r>
      <w:r w:rsidR="002C7332" w:rsidRPr="00996DDA">
        <w:rPr>
          <w:rFonts w:ascii="Avenir Next" w:hAnsi="Avenir Next" w:cstheme="minorHAnsi"/>
          <w:sz w:val="22"/>
          <w:szCs w:val="22"/>
        </w:rPr>
        <w:t xml:space="preserve"> </w:t>
      </w:r>
      <w:r w:rsidR="00A52C6B">
        <w:rPr>
          <w:rFonts w:ascii="Avenir Next" w:hAnsi="Avenir Next" w:cstheme="minorHAnsi"/>
          <w:sz w:val="22"/>
          <w:szCs w:val="22"/>
        </w:rPr>
        <w:t xml:space="preserve">set tuition rates and </w:t>
      </w:r>
      <w:r w:rsidR="003B7D58">
        <w:rPr>
          <w:rFonts w:ascii="Avenir Next" w:hAnsi="Avenir Next" w:cstheme="minorHAnsi"/>
          <w:sz w:val="22"/>
          <w:szCs w:val="22"/>
        </w:rPr>
        <w:t>adopt</w:t>
      </w:r>
      <w:r w:rsidR="003B7D58" w:rsidRPr="00996DDA">
        <w:rPr>
          <w:rFonts w:ascii="Avenir Next" w:hAnsi="Avenir Next" w:cstheme="minorHAnsi"/>
          <w:sz w:val="22"/>
          <w:szCs w:val="22"/>
        </w:rPr>
        <w:t xml:space="preserve"> </w:t>
      </w:r>
      <w:r w:rsidR="003B7D58">
        <w:rPr>
          <w:rFonts w:ascii="Avenir Next" w:hAnsi="Avenir Next" w:cstheme="minorHAnsi"/>
          <w:sz w:val="22"/>
          <w:szCs w:val="22"/>
        </w:rPr>
        <w:t>property tax</w:t>
      </w:r>
      <w:r w:rsidR="002C7332" w:rsidRPr="00996DDA">
        <w:rPr>
          <w:rFonts w:ascii="Avenir Next" w:hAnsi="Avenir Next" w:cstheme="minorHAnsi"/>
          <w:sz w:val="22"/>
          <w:szCs w:val="22"/>
        </w:rPr>
        <w:t xml:space="preserve"> rates</w:t>
      </w:r>
      <w:r w:rsidR="00AA2DD4">
        <w:rPr>
          <w:rFonts w:ascii="Avenir Next" w:hAnsi="Avenir Next" w:cstheme="minorHAnsi"/>
          <w:sz w:val="22"/>
          <w:szCs w:val="22"/>
        </w:rPr>
        <w:t xml:space="preserve"> for the maintenance and operations of colleges and for debt service</w:t>
      </w:r>
      <w:r w:rsidRPr="00996DDA">
        <w:rPr>
          <w:rFonts w:ascii="Avenir Next" w:hAnsi="Avenir Next" w:cstheme="minorHAnsi"/>
          <w:sz w:val="22"/>
          <w:szCs w:val="22"/>
        </w:rPr>
        <w:t xml:space="preserve">. </w:t>
      </w:r>
      <w:r w:rsidR="009B16D0">
        <w:rPr>
          <w:rFonts w:ascii="Avenir Next" w:hAnsi="Avenir Next" w:cstheme="minorHAnsi"/>
          <w:sz w:val="22"/>
          <w:szCs w:val="22"/>
        </w:rPr>
        <w:t>Over</w:t>
      </w:r>
      <w:r w:rsidR="009B16D0" w:rsidRPr="00996DDA">
        <w:rPr>
          <w:rFonts w:ascii="Avenir Next" w:hAnsi="Avenir Next" w:cstheme="minorHAnsi"/>
          <w:sz w:val="22"/>
          <w:szCs w:val="22"/>
        </w:rPr>
        <w:t xml:space="preserve"> the past decade,</w:t>
      </w:r>
      <w:r w:rsidR="009B16D0">
        <w:rPr>
          <w:rFonts w:ascii="Avenir Next" w:hAnsi="Avenir Next" w:cstheme="minorHAnsi"/>
          <w:sz w:val="22"/>
          <w:szCs w:val="22"/>
        </w:rPr>
        <w:t xml:space="preserve"> </w:t>
      </w:r>
      <w:r w:rsidR="009B16D0" w:rsidRPr="00996DDA">
        <w:rPr>
          <w:rFonts w:ascii="Avenir Next" w:hAnsi="Avenir Next" w:cstheme="minorHAnsi"/>
          <w:sz w:val="22"/>
          <w:szCs w:val="22"/>
        </w:rPr>
        <w:t xml:space="preserve">local </w:t>
      </w:r>
      <w:r w:rsidR="00AC3EC9">
        <w:rPr>
          <w:rFonts w:ascii="Avenir Next" w:hAnsi="Avenir Next" w:cstheme="minorHAnsi"/>
          <w:sz w:val="22"/>
          <w:szCs w:val="22"/>
        </w:rPr>
        <w:t xml:space="preserve">property </w:t>
      </w:r>
      <w:r w:rsidR="009B16D0" w:rsidRPr="00996DDA">
        <w:rPr>
          <w:rFonts w:ascii="Avenir Next" w:hAnsi="Avenir Next" w:cstheme="minorHAnsi"/>
          <w:sz w:val="22"/>
          <w:szCs w:val="22"/>
        </w:rPr>
        <w:t>tax collections have increased significantly.</w:t>
      </w:r>
    </w:p>
    <w:p w14:paraId="08533C5E" w14:textId="77777777" w:rsidR="0032519B" w:rsidRDefault="0032519B" w:rsidP="007F2F03">
      <w:pPr>
        <w:rPr>
          <w:rFonts w:ascii="Avenir Next" w:hAnsi="Avenir Next" w:cstheme="minorHAnsi"/>
          <w:sz w:val="22"/>
          <w:szCs w:val="22"/>
        </w:rPr>
      </w:pPr>
    </w:p>
    <w:p w14:paraId="130EFCC8" w14:textId="7CD67A1B" w:rsidR="00872334" w:rsidRPr="00885514" w:rsidRDefault="007F2F03" w:rsidP="00885514">
      <w:pPr>
        <w:rPr>
          <w:rFonts w:ascii="Avenir Next" w:hAnsi="Avenir Next"/>
          <w:color w:val="323232"/>
          <w:sz w:val="22"/>
          <w:szCs w:val="22"/>
          <w:shd w:val="clear" w:color="auto" w:fill="FFFFFF"/>
        </w:rPr>
      </w:pPr>
      <w:r w:rsidRPr="0032519B">
        <w:rPr>
          <w:rFonts w:ascii="Avenir Next" w:hAnsi="Avenir Next" w:cs="AppleSystemUIFont"/>
          <w:sz w:val="22"/>
          <w:szCs w:val="22"/>
        </w:rPr>
        <w:t xml:space="preserve">This model reflects the </w:t>
      </w:r>
      <w:r w:rsidR="00316985">
        <w:rPr>
          <w:rFonts w:ascii="Avenir Next" w:hAnsi="Avenir Next" w:cs="AppleSystemUIFont"/>
          <w:sz w:val="22"/>
          <w:szCs w:val="22"/>
        </w:rPr>
        <w:t>origin</w:t>
      </w:r>
      <w:r w:rsidRPr="0032519B">
        <w:rPr>
          <w:rFonts w:ascii="Avenir Next" w:hAnsi="Avenir Next" w:cs="AppleSystemUIFont"/>
          <w:sz w:val="22"/>
          <w:szCs w:val="22"/>
        </w:rPr>
        <w:t xml:space="preserve"> of the state’s network of 50 community college districts. Thes</w:t>
      </w:r>
      <w:r w:rsidR="0032519B" w:rsidRPr="0032519B">
        <w:rPr>
          <w:rFonts w:ascii="Avenir Next" w:hAnsi="Avenir Next" w:cs="AppleSystemUIFont"/>
          <w:sz w:val="22"/>
          <w:szCs w:val="22"/>
        </w:rPr>
        <w:t>e</w:t>
      </w:r>
      <w:r w:rsidRPr="0032519B">
        <w:rPr>
          <w:rFonts w:ascii="Avenir Next" w:hAnsi="Avenir Next" w:cs="AppleSystemUIFont"/>
          <w:sz w:val="22"/>
          <w:szCs w:val="22"/>
        </w:rPr>
        <w:t xml:space="preserve"> </w:t>
      </w:r>
      <w:r w:rsidR="0032519B">
        <w:rPr>
          <w:rFonts w:ascii="Avenir Next" w:hAnsi="Avenir Next" w:cs="AppleSystemUIFont"/>
          <w:sz w:val="22"/>
          <w:szCs w:val="22"/>
        </w:rPr>
        <w:t xml:space="preserve">colleges </w:t>
      </w:r>
      <w:r w:rsidRPr="0032519B">
        <w:rPr>
          <w:rFonts w:ascii="Avenir Next" w:hAnsi="Avenir Next" w:cs="AppleSystemUIFont"/>
          <w:sz w:val="22"/>
          <w:szCs w:val="22"/>
        </w:rPr>
        <w:t xml:space="preserve">were created </w:t>
      </w:r>
      <w:r w:rsidR="0032519B" w:rsidRPr="0032519B">
        <w:rPr>
          <w:rFonts w:ascii="Avenir Next" w:hAnsi="Avenir Next" w:cs="AppleSystemUIFont"/>
          <w:sz w:val="22"/>
          <w:szCs w:val="22"/>
        </w:rPr>
        <w:t>locally</w:t>
      </w:r>
      <w:r w:rsidRPr="0032519B">
        <w:rPr>
          <w:rFonts w:ascii="Avenir Next" w:hAnsi="Avenir Next" w:cs="AppleSystemUIFont"/>
          <w:sz w:val="22"/>
          <w:szCs w:val="22"/>
        </w:rPr>
        <w:t xml:space="preserve">, </w:t>
      </w:r>
      <w:r w:rsidR="003E139D">
        <w:rPr>
          <w:rFonts w:ascii="Avenir Next" w:hAnsi="Avenir Next" w:cs="AppleSystemUIFont"/>
          <w:sz w:val="22"/>
          <w:szCs w:val="22"/>
        </w:rPr>
        <w:t>mainly</w:t>
      </w:r>
      <w:r w:rsidRPr="0032519B">
        <w:rPr>
          <w:rFonts w:ascii="Avenir Next" w:hAnsi="Avenir Next" w:cs="AppleSystemUIFont"/>
          <w:sz w:val="22"/>
          <w:szCs w:val="22"/>
        </w:rPr>
        <w:t xml:space="preserve"> in the first half of the 20</w:t>
      </w:r>
      <w:r w:rsidRPr="0032519B">
        <w:rPr>
          <w:rFonts w:ascii="Avenir Next" w:hAnsi="Avenir Next" w:cs="AppleSystemUIFont"/>
          <w:sz w:val="22"/>
          <w:szCs w:val="22"/>
          <w:vertAlign w:val="superscript"/>
        </w:rPr>
        <w:t>th</w:t>
      </w:r>
      <w:r w:rsidRPr="0032519B">
        <w:rPr>
          <w:rFonts w:ascii="Avenir Next" w:hAnsi="Avenir Next" w:cs="AppleSystemUIFont"/>
          <w:sz w:val="22"/>
          <w:szCs w:val="22"/>
        </w:rPr>
        <w:t xml:space="preserve"> </w:t>
      </w:r>
      <w:r w:rsidR="0032519B">
        <w:rPr>
          <w:rFonts w:ascii="Avenir Next" w:hAnsi="Avenir Next" w:cs="AppleSystemUIFont"/>
          <w:sz w:val="22"/>
          <w:szCs w:val="22"/>
        </w:rPr>
        <w:t>c</w:t>
      </w:r>
      <w:r w:rsidRPr="0032519B">
        <w:rPr>
          <w:rFonts w:ascii="Avenir Next" w:hAnsi="Avenir Next" w:cs="AppleSystemUIFont"/>
          <w:sz w:val="22"/>
          <w:szCs w:val="22"/>
        </w:rPr>
        <w:t xml:space="preserve">entury, to provide higher education </w:t>
      </w:r>
      <w:r w:rsidR="0032519B">
        <w:rPr>
          <w:rFonts w:ascii="Avenir Next" w:hAnsi="Avenir Next" w:cs="AppleSystemUIFont"/>
          <w:sz w:val="22"/>
          <w:szCs w:val="22"/>
        </w:rPr>
        <w:t>opportunities</w:t>
      </w:r>
      <w:r w:rsidRPr="0032519B">
        <w:rPr>
          <w:rFonts w:ascii="Avenir Next" w:hAnsi="Avenir Next" w:cs="AppleSystemUIFont"/>
          <w:sz w:val="22"/>
          <w:szCs w:val="22"/>
        </w:rPr>
        <w:t xml:space="preserve"> to </w:t>
      </w:r>
      <w:r w:rsidR="0032519B" w:rsidRPr="0032519B">
        <w:rPr>
          <w:rFonts w:ascii="Avenir Next" w:hAnsi="Avenir Next" w:cs="AppleSystemUIFont"/>
          <w:sz w:val="22"/>
          <w:szCs w:val="22"/>
        </w:rPr>
        <w:t>area</w:t>
      </w:r>
      <w:r w:rsidRPr="0032519B">
        <w:rPr>
          <w:rFonts w:ascii="Avenir Next" w:hAnsi="Avenir Next" w:cs="AppleSystemUIFont"/>
          <w:sz w:val="22"/>
          <w:szCs w:val="22"/>
        </w:rPr>
        <w:t xml:space="preserve"> students before they entered the workforce or went to out-of-town</w:t>
      </w:r>
      <w:r w:rsidR="00316985">
        <w:rPr>
          <w:rFonts w:ascii="Avenir Next" w:hAnsi="Avenir Next" w:cs="AppleSystemUIFont"/>
          <w:sz w:val="22"/>
          <w:szCs w:val="22"/>
        </w:rPr>
        <w:t>,</w:t>
      </w:r>
      <w:r w:rsidRPr="0032519B">
        <w:rPr>
          <w:rFonts w:ascii="Avenir Next" w:hAnsi="Avenir Next" w:cs="AppleSystemUIFont"/>
          <w:sz w:val="22"/>
          <w:szCs w:val="22"/>
        </w:rPr>
        <w:t xml:space="preserve"> four-year </w:t>
      </w:r>
      <w:r w:rsidR="00AC3EC9">
        <w:rPr>
          <w:rFonts w:ascii="Avenir Next" w:hAnsi="Avenir Next" w:cs="AppleSystemUIFont"/>
          <w:sz w:val="22"/>
          <w:szCs w:val="22"/>
        </w:rPr>
        <w:t>universities</w:t>
      </w:r>
      <w:r w:rsidRPr="0032519B">
        <w:rPr>
          <w:rFonts w:ascii="Avenir Next" w:hAnsi="Avenir Next" w:cs="AppleSystemUIFont"/>
          <w:sz w:val="22"/>
          <w:szCs w:val="22"/>
        </w:rPr>
        <w:t xml:space="preserve">. </w:t>
      </w:r>
      <w:r w:rsidR="0032519B" w:rsidRPr="00885514">
        <w:rPr>
          <w:rFonts w:ascii="Avenir Next" w:hAnsi="Avenir Next"/>
          <w:color w:val="323232"/>
          <w:sz w:val="22"/>
          <w:szCs w:val="22"/>
          <w:shd w:val="clear" w:color="auto" w:fill="FFFFFF"/>
        </w:rPr>
        <w:t>Since community colleges were formed by taxpayers, they historically relied on revenue</w:t>
      </w:r>
      <w:r w:rsidR="0032519B">
        <w:rPr>
          <w:rFonts w:ascii="Avenir Next" w:hAnsi="Avenir Next"/>
          <w:color w:val="323232"/>
          <w:sz w:val="22"/>
          <w:szCs w:val="22"/>
          <w:shd w:val="clear" w:color="auto" w:fill="FFFFFF"/>
        </w:rPr>
        <w:t>s</w:t>
      </w:r>
      <w:r w:rsidR="0032519B" w:rsidRPr="00885514">
        <w:rPr>
          <w:rFonts w:ascii="Avenir Next" w:hAnsi="Avenir Next"/>
          <w:color w:val="323232"/>
          <w:sz w:val="22"/>
          <w:szCs w:val="22"/>
          <w:shd w:val="clear" w:color="auto" w:fill="FFFFFF"/>
        </w:rPr>
        <w:t xml:space="preserve"> </w:t>
      </w:r>
      <w:r w:rsidR="00316985">
        <w:rPr>
          <w:rFonts w:ascii="Avenir Next" w:hAnsi="Avenir Next"/>
          <w:color w:val="323232"/>
          <w:sz w:val="22"/>
          <w:szCs w:val="22"/>
          <w:shd w:val="clear" w:color="auto" w:fill="FFFFFF"/>
        </w:rPr>
        <w:t xml:space="preserve">tied to </w:t>
      </w:r>
      <w:r w:rsidR="00AC3EC9">
        <w:rPr>
          <w:rFonts w:ascii="Avenir Next" w:hAnsi="Avenir Next"/>
          <w:color w:val="323232"/>
          <w:sz w:val="22"/>
          <w:szCs w:val="22"/>
          <w:shd w:val="clear" w:color="auto" w:fill="FFFFFF"/>
        </w:rPr>
        <w:t>tax</w:t>
      </w:r>
      <w:r w:rsidR="00316985">
        <w:rPr>
          <w:rFonts w:ascii="Avenir Next" w:hAnsi="Avenir Next"/>
          <w:color w:val="323232"/>
          <w:sz w:val="22"/>
          <w:szCs w:val="22"/>
          <w:shd w:val="clear" w:color="auto" w:fill="FFFFFF"/>
        </w:rPr>
        <w:t xml:space="preserve"> rates approved by</w:t>
      </w:r>
      <w:r w:rsidR="0032519B" w:rsidRPr="00885514">
        <w:rPr>
          <w:rFonts w:ascii="Avenir Next" w:hAnsi="Avenir Next"/>
          <w:color w:val="323232"/>
          <w:sz w:val="22"/>
          <w:szCs w:val="22"/>
          <w:shd w:val="clear" w:color="auto" w:fill="FFFFFF"/>
        </w:rPr>
        <w:t xml:space="preserve"> voters</w:t>
      </w:r>
      <w:r w:rsidR="00E835DF">
        <w:rPr>
          <w:rFonts w:ascii="Avenir Next" w:hAnsi="Avenir Next"/>
          <w:color w:val="323232"/>
          <w:sz w:val="22"/>
          <w:szCs w:val="22"/>
          <w:shd w:val="clear" w:color="auto" w:fill="FFFFFF"/>
        </w:rPr>
        <w:t xml:space="preserve">. </w:t>
      </w:r>
      <w:r w:rsidR="00316985">
        <w:rPr>
          <w:rFonts w:ascii="Avenir Next" w:hAnsi="Avenir Next"/>
          <w:color w:val="323232"/>
          <w:sz w:val="22"/>
          <w:szCs w:val="22"/>
          <w:shd w:val="clear" w:color="auto" w:fill="FFFFFF"/>
        </w:rPr>
        <w:t>O</w:t>
      </w:r>
      <w:r w:rsidR="00E835DF">
        <w:rPr>
          <w:rFonts w:ascii="Avenir Next" w:hAnsi="Avenir Next"/>
          <w:color w:val="323232"/>
          <w:sz w:val="22"/>
          <w:szCs w:val="22"/>
          <w:shd w:val="clear" w:color="auto" w:fill="FFFFFF"/>
        </w:rPr>
        <w:t>ver the past half-century,</w:t>
      </w:r>
      <w:r w:rsidR="0032519B" w:rsidRPr="00885514">
        <w:rPr>
          <w:rFonts w:ascii="Avenir Next" w:hAnsi="Avenir Next"/>
          <w:color w:val="323232"/>
          <w:sz w:val="22"/>
          <w:szCs w:val="22"/>
          <w:shd w:val="clear" w:color="auto" w:fill="FFFFFF"/>
        </w:rPr>
        <w:t xml:space="preserve"> tuition</w:t>
      </w:r>
      <w:r w:rsidR="0032519B">
        <w:rPr>
          <w:rFonts w:ascii="Avenir Next" w:hAnsi="Avenir Next"/>
          <w:color w:val="323232"/>
          <w:sz w:val="22"/>
          <w:szCs w:val="22"/>
          <w:shd w:val="clear" w:color="auto" w:fill="FFFFFF"/>
        </w:rPr>
        <w:t xml:space="preserve"> collection</w:t>
      </w:r>
      <w:r w:rsidR="0032519B" w:rsidRPr="00885514">
        <w:rPr>
          <w:rFonts w:ascii="Avenir Next" w:hAnsi="Avenir Next"/>
          <w:color w:val="323232"/>
          <w:sz w:val="22"/>
          <w:szCs w:val="22"/>
          <w:shd w:val="clear" w:color="auto" w:fill="FFFFFF"/>
        </w:rPr>
        <w:t xml:space="preserve"> and state support </w:t>
      </w:r>
      <w:r w:rsidR="003E139D">
        <w:rPr>
          <w:rFonts w:ascii="Avenir Next" w:hAnsi="Avenir Next"/>
          <w:color w:val="323232"/>
          <w:sz w:val="22"/>
          <w:szCs w:val="22"/>
          <w:shd w:val="clear" w:color="auto" w:fill="FFFFFF"/>
        </w:rPr>
        <w:t>have become</w:t>
      </w:r>
      <w:r w:rsidR="0032519B" w:rsidRPr="00885514">
        <w:rPr>
          <w:rFonts w:ascii="Avenir Next" w:hAnsi="Avenir Next"/>
          <w:color w:val="323232"/>
          <w:sz w:val="22"/>
          <w:szCs w:val="22"/>
          <w:shd w:val="clear" w:color="auto" w:fill="FFFFFF"/>
        </w:rPr>
        <w:t xml:space="preserve"> more integral to the model. </w:t>
      </w:r>
    </w:p>
    <w:p w14:paraId="40E87D6F" w14:textId="41044731" w:rsidR="007F2F03" w:rsidRPr="0032519B" w:rsidRDefault="007F2F03" w:rsidP="00885514">
      <w:pPr>
        <w:rPr>
          <w:rFonts w:ascii="Avenir Next" w:hAnsi="Avenir Next" w:cstheme="minorHAnsi"/>
          <w:sz w:val="22"/>
          <w:szCs w:val="22"/>
        </w:rPr>
      </w:pPr>
    </w:p>
    <w:p w14:paraId="2B915958" w14:textId="51558FCE" w:rsidR="007F2F03" w:rsidRPr="00885514" w:rsidRDefault="00872334" w:rsidP="00A359F5">
      <w:pPr>
        <w:rPr>
          <w:rFonts w:ascii="Avenir Next" w:hAnsi="Avenir Next" w:cs="Calibri"/>
          <w:color w:val="000000"/>
          <w:sz w:val="22"/>
          <w:szCs w:val="22"/>
        </w:rPr>
      </w:pPr>
      <w:r w:rsidRPr="00885514">
        <w:rPr>
          <w:rFonts w:ascii="Avenir Next" w:hAnsi="Avenir Next" w:cs="Calibri"/>
          <w:color w:val="000000"/>
          <w:sz w:val="22"/>
          <w:szCs w:val="22"/>
        </w:rPr>
        <w:t xml:space="preserve">The needs and goals of community colleges today are different than when </w:t>
      </w:r>
      <w:r w:rsidR="00316985" w:rsidRPr="009B16D0">
        <w:rPr>
          <w:rFonts w:ascii="Avenir Next" w:hAnsi="Avenir Next" w:cs="Calibri"/>
          <w:color w:val="000000"/>
          <w:sz w:val="22"/>
          <w:szCs w:val="22"/>
        </w:rPr>
        <w:t>this</w:t>
      </w:r>
      <w:r w:rsidRPr="00885514">
        <w:rPr>
          <w:rFonts w:ascii="Avenir Next" w:hAnsi="Avenir Next" w:cs="Calibri"/>
          <w:color w:val="000000"/>
          <w:sz w:val="22"/>
          <w:szCs w:val="22"/>
        </w:rPr>
        <w:t xml:space="preserve"> model </w:t>
      </w:r>
      <w:r w:rsidRPr="009B16D0">
        <w:rPr>
          <w:rFonts w:ascii="Avenir Next" w:hAnsi="Avenir Next" w:cs="Calibri"/>
          <w:color w:val="000000"/>
          <w:sz w:val="22"/>
          <w:szCs w:val="22"/>
        </w:rPr>
        <w:t>developed</w:t>
      </w:r>
      <w:r w:rsidR="003E139D" w:rsidRPr="009B16D0">
        <w:rPr>
          <w:rFonts w:ascii="Avenir Next" w:hAnsi="Avenir Next" w:cs="Calibri"/>
          <w:color w:val="000000"/>
          <w:sz w:val="22"/>
          <w:szCs w:val="22"/>
        </w:rPr>
        <w:t xml:space="preserve">. </w:t>
      </w:r>
      <w:r w:rsidR="00AC3EC9">
        <w:rPr>
          <w:rFonts w:ascii="Avenir Next" w:hAnsi="Avenir Next" w:cs="Calibri"/>
          <w:color w:val="000000"/>
          <w:sz w:val="22"/>
          <w:szCs w:val="22"/>
        </w:rPr>
        <w:t>Community colleges</w:t>
      </w:r>
      <w:r w:rsidR="003E139D" w:rsidRPr="009B16D0">
        <w:rPr>
          <w:rFonts w:ascii="Avenir Next" w:hAnsi="Avenir Next" w:cs="Calibri"/>
          <w:color w:val="000000"/>
          <w:sz w:val="22"/>
          <w:szCs w:val="22"/>
        </w:rPr>
        <w:t xml:space="preserve"> now play a vital role in awarding the credentials of value that </w:t>
      </w:r>
      <w:r w:rsidR="00CE4837" w:rsidRPr="009B16D0">
        <w:rPr>
          <w:rFonts w:ascii="Avenir Next" w:hAnsi="Avenir Next" w:cs="Calibri"/>
          <w:color w:val="000000"/>
          <w:sz w:val="22"/>
          <w:szCs w:val="22"/>
        </w:rPr>
        <w:t>many</w:t>
      </w:r>
      <w:r w:rsidR="003E139D" w:rsidRPr="009B16D0">
        <w:rPr>
          <w:rFonts w:ascii="Avenir Next" w:hAnsi="Avenir Next" w:cs="Calibri"/>
          <w:color w:val="000000"/>
          <w:sz w:val="22"/>
          <w:szCs w:val="22"/>
        </w:rPr>
        <w:t xml:space="preserve"> new jobs require in Texas’ economy.</w:t>
      </w:r>
      <w:r w:rsidRPr="00885514">
        <w:rPr>
          <w:rFonts w:ascii="Avenir Next" w:hAnsi="Avenir Next" w:cs="Calibri"/>
          <w:color w:val="000000"/>
          <w:sz w:val="22"/>
          <w:szCs w:val="22"/>
        </w:rPr>
        <w:t xml:space="preserve"> </w:t>
      </w:r>
      <w:r w:rsidR="00AC3EC9">
        <w:rPr>
          <w:rFonts w:ascii="Avenir Next" w:hAnsi="Avenir Next"/>
          <w:color w:val="323232"/>
          <w:sz w:val="22"/>
          <w:szCs w:val="22"/>
          <w:shd w:val="clear" w:color="auto" w:fill="FFFFFF"/>
        </w:rPr>
        <w:t>Now, s</w:t>
      </w:r>
      <w:r w:rsidRPr="009B16D0">
        <w:rPr>
          <w:rFonts w:ascii="Avenir Next" w:hAnsi="Avenir Next"/>
          <w:color w:val="323232"/>
          <w:sz w:val="22"/>
          <w:szCs w:val="22"/>
          <w:shd w:val="clear" w:color="auto" w:fill="FFFFFF"/>
        </w:rPr>
        <w:t xml:space="preserve">tate leaders have a historic opportunity to </w:t>
      </w:r>
      <w:r w:rsidR="009B16D0" w:rsidRPr="009B16D0">
        <w:rPr>
          <w:rFonts w:ascii="Avenir Next" w:hAnsi="Avenir Next" w:cs="Calibri"/>
          <w:color w:val="000000"/>
          <w:sz w:val="22"/>
          <w:szCs w:val="22"/>
        </w:rPr>
        <w:t>develop a new funding model</w:t>
      </w:r>
      <w:r w:rsidR="009B16D0" w:rsidRPr="00885514">
        <w:rPr>
          <w:rFonts w:ascii="Avenir Next" w:hAnsi="Avenir Next" w:cs="Calibri"/>
          <w:color w:val="000000"/>
          <w:sz w:val="22"/>
          <w:szCs w:val="22"/>
        </w:rPr>
        <w:t xml:space="preserve"> that recognizes </w:t>
      </w:r>
      <w:r w:rsidR="009B16D0">
        <w:rPr>
          <w:rFonts w:ascii="Avenir Next" w:hAnsi="Avenir Next" w:cs="Calibri"/>
          <w:color w:val="000000"/>
          <w:sz w:val="22"/>
          <w:szCs w:val="22"/>
        </w:rPr>
        <w:t xml:space="preserve">community colleges’ </w:t>
      </w:r>
      <w:r w:rsidR="00AC3EC9">
        <w:rPr>
          <w:rFonts w:ascii="Avenir Next" w:hAnsi="Avenir Next" w:cs="Calibri"/>
          <w:color w:val="000000"/>
          <w:sz w:val="22"/>
          <w:szCs w:val="22"/>
        </w:rPr>
        <w:t>contributions</w:t>
      </w:r>
      <w:r w:rsidR="009B16D0" w:rsidRPr="00885514">
        <w:rPr>
          <w:rFonts w:ascii="Avenir Next" w:hAnsi="Avenir Next" w:cs="Calibri"/>
          <w:color w:val="000000"/>
          <w:sz w:val="22"/>
          <w:szCs w:val="22"/>
        </w:rPr>
        <w:t xml:space="preserve"> </w:t>
      </w:r>
      <w:r w:rsidR="00AC3EC9">
        <w:rPr>
          <w:rFonts w:ascii="Avenir Next" w:hAnsi="Avenir Next" w:cs="Calibri"/>
          <w:color w:val="000000"/>
          <w:sz w:val="22"/>
          <w:szCs w:val="22"/>
        </w:rPr>
        <w:t>to</w:t>
      </w:r>
      <w:r w:rsidR="009B16D0">
        <w:rPr>
          <w:rFonts w:ascii="Avenir Next" w:hAnsi="Avenir Next" w:cs="Calibri"/>
          <w:color w:val="000000"/>
          <w:sz w:val="22"/>
          <w:szCs w:val="22"/>
        </w:rPr>
        <w:t xml:space="preserve"> </w:t>
      </w:r>
      <w:r w:rsidR="00AC3EC9">
        <w:rPr>
          <w:rFonts w:ascii="Avenir Next" w:hAnsi="Avenir Next" w:cs="Calibri"/>
          <w:color w:val="000000"/>
          <w:sz w:val="22"/>
          <w:szCs w:val="22"/>
        </w:rPr>
        <w:t>state and regional</w:t>
      </w:r>
      <w:r w:rsidR="009B16D0" w:rsidRPr="00885514">
        <w:rPr>
          <w:rFonts w:ascii="Avenir Next" w:hAnsi="Avenir Next" w:cs="Calibri"/>
          <w:color w:val="000000"/>
          <w:sz w:val="22"/>
          <w:szCs w:val="22"/>
        </w:rPr>
        <w:t xml:space="preserve"> </w:t>
      </w:r>
      <w:r w:rsidR="00AC3EC9">
        <w:rPr>
          <w:rFonts w:ascii="Avenir Next" w:hAnsi="Avenir Next" w:cs="Calibri"/>
          <w:color w:val="000000"/>
          <w:sz w:val="22"/>
          <w:szCs w:val="22"/>
        </w:rPr>
        <w:t>economies, especially through the</w:t>
      </w:r>
      <w:r w:rsidR="009B16D0" w:rsidRPr="00885514">
        <w:rPr>
          <w:rFonts w:ascii="Avenir Next" w:hAnsi="Avenir Next" w:cs="Calibri"/>
          <w:color w:val="000000"/>
          <w:sz w:val="22"/>
          <w:szCs w:val="22"/>
        </w:rPr>
        <w:t xml:space="preserve"> associate degrees, certificates, and other credentials</w:t>
      </w:r>
      <w:r w:rsidR="00AC3EC9">
        <w:rPr>
          <w:rFonts w:ascii="Avenir Next" w:hAnsi="Avenir Next" w:cs="Calibri"/>
          <w:color w:val="000000"/>
          <w:sz w:val="22"/>
          <w:szCs w:val="22"/>
        </w:rPr>
        <w:t xml:space="preserve"> they award</w:t>
      </w:r>
      <w:r w:rsidR="009B16D0" w:rsidRPr="00885514">
        <w:rPr>
          <w:rFonts w:ascii="Avenir Next" w:hAnsi="Avenir Next" w:cs="Calibri"/>
          <w:color w:val="000000"/>
          <w:sz w:val="22"/>
          <w:szCs w:val="22"/>
        </w:rPr>
        <w:t>.</w:t>
      </w:r>
    </w:p>
    <w:p w14:paraId="08FC49DE" w14:textId="77777777" w:rsidR="00872334" w:rsidRDefault="00872334" w:rsidP="00A359F5">
      <w:pPr>
        <w:rPr>
          <w:rFonts w:ascii="Avenir Next" w:hAnsi="Avenir Next" w:cstheme="minorHAnsi"/>
          <w:sz w:val="22"/>
          <w:szCs w:val="22"/>
        </w:rPr>
      </w:pPr>
    </w:p>
    <w:p w14:paraId="63F697FB" w14:textId="596F7ED2" w:rsidR="00316985" w:rsidRDefault="00FB6A31" w:rsidP="00316985">
      <w:pPr>
        <w:rPr>
          <w:rFonts w:ascii="Avenir Next" w:hAnsi="Avenir Next" w:cstheme="minorHAnsi"/>
          <w:sz w:val="22"/>
          <w:szCs w:val="22"/>
        </w:rPr>
      </w:pPr>
      <w:r w:rsidRPr="00996DDA">
        <w:rPr>
          <w:rFonts w:ascii="Avenir Next" w:hAnsi="Avenir Next" w:cstheme="minorHAnsi"/>
          <w:sz w:val="22"/>
          <w:szCs w:val="22"/>
        </w:rPr>
        <w:t xml:space="preserve">There is </w:t>
      </w:r>
      <w:r w:rsidR="00872334">
        <w:rPr>
          <w:rFonts w:ascii="Avenir Next" w:hAnsi="Avenir Next" w:cstheme="minorHAnsi"/>
          <w:sz w:val="22"/>
          <w:szCs w:val="22"/>
        </w:rPr>
        <w:t xml:space="preserve">currently </w:t>
      </w:r>
      <w:r w:rsidRPr="00996DDA">
        <w:rPr>
          <w:rFonts w:ascii="Avenir Next" w:hAnsi="Avenir Next" w:cstheme="minorHAnsi"/>
          <w:sz w:val="22"/>
          <w:szCs w:val="22"/>
        </w:rPr>
        <w:t xml:space="preserve">wide variation in the </w:t>
      </w:r>
      <w:r w:rsidR="0078176B">
        <w:rPr>
          <w:rFonts w:ascii="Avenir Next" w:hAnsi="Avenir Next" w:cstheme="minorHAnsi"/>
          <w:sz w:val="22"/>
          <w:szCs w:val="22"/>
        </w:rPr>
        <w:t xml:space="preserve">property </w:t>
      </w:r>
      <w:r w:rsidR="00CA0ED6" w:rsidRPr="00996DDA">
        <w:rPr>
          <w:rFonts w:ascii="Avenir Next" w:hAnsi="Avenir Next" w:cstheme="minorHAnsi"/>
          <w:sz w:val="22"/>
          <w:szCs w:val="22"/>
        </w:rPr>
        <w:t xml:space="preserve">tax rates </w:t>
      </w:r>
      <w:r w:rsidR="00A52C6B">
        <w:rPr>
          <w:rFonts w:ascii="Avenir Next" w:hAnsi="Avenir Next" w:cstheme="minorHAnsi"/>
          <w:sz w:val="22"/>
          <w:szCs w:val="22"/>
        </w:rPr>
        <w:t xml:space="preserve">community </w:t>
      </w:r>
      <w:r w:rsidR="00AA2DD4">
        <w:rPr>
          <w:rFonts w:ascii="Avenir Next" w:hAnsi="Avenir Next" w:cstheme="minorHAnsi"/>
          <w:sz w:val="22"/>
          <w:szCs w:val="22"/>
        </w:rPr>
        <w:t>colleges</w:t>
      </w:r>
      <w:r w:rsidR="00AA2DD4" w:rsidRPr="00996DDA">
        <w:rPr>
          <w:rFonts w:ascii="Avenir Next" w:hAnsi="Avenir Next" w:cstheme="minorHAnsi"/>
          <w:sz w:val="22"/>
          <w:szCs w:val="22"/>
        </w:rPr>
        <w:t xml:space="preserve"> </w:t>
      </w:r>
      <w:r w:rsidR="00A52C6B">
        <w:rPr>
          <w:rFonts w:ascii="Avenir Next" w:hAnsi="Avenir Next" w:cstheme="minorHAnsi"/>
          <w:sz w:val="22"/>
          <w:szCs w:val="22"/>
        </w:rPr>
        <w:t>adopt for maintenance and operations</w:t>
      </w:r>
      <w:r w:rsidR="00316985">
        <w:rPr>
          <w:rFonts w:ascii="Avenir Next" w:hAnsi="Avenir Next" w:cstheme="minorHAnsi"/>
          <w:sz w:val="22"/>
          <w:szCs w:val="22"/>
        </w:rPr>
        <w:t xml:space="preserve"> — </w:t>
      </w:r>
      <w:r w:rsidR="00CA0ED6" w:rsidRPr="00996DDA">
        <w:rPr>
          <w:rFonts w:ascii="Avenir Next" w:hAnsi="Avenir Next" w:cstheme="minorHAnsi"/>
          <w:sz w:val="22"/>
          <w:szCs w:val="22"/>
        </w:rPr>
        <w:t xml:space="preserve">from less than </w:t>
      </w:r>
      <w:r w:rsidR="00A52C6B">
        <w:rPr>
          <w:rFonts w:ascii="Avenir Next" w:hAnsi="Avenir Next" w:cstheme="minorHAnsi"/>
          <w:sz w:val="22"/>
          <w:szCs w:val="22"/>
        </w:rPr>
        <w:t>2</w:t>
      </w:r>
      <w:r w:rsidR="00426D7A" w:rsidRPr="00996DDA">
        <w:rPr>
          <w:rFonts w:ascii="Avenir Next" w:hAnsi="Avenir Next" w:cstheme="minorHAnsi"/>
          <w:sz w:val="22"/>
          <w:szCs w:val="22"/>
        </w:rPr>
        <w:t xml:space="preserve"> </w:t>
      </w:r>
      <w:r w:rsidR="00CA0ED6" w:rsidRPr="00996DDA">
        <w:rPr>
          <w:rFonts w:ascii="Avenir Next" w:hAnsi="Avenir Next" w:cstheme="minorHAnsi"/>
          <w:sz w:val="22"/>
          <w:szCs w:val="22"/>
        </w:rPr>
        <w:t>cent</w:t>
      </w:r>
      <w:r w:rsidR="00A52C6B">
        <w:rPr>
          <w:rFonts w:ascii="Avenir Next" w:hAnsi="Avenir Next" w:cstheme="minorHAnsi"/>
          <w:sz w:val="22"/>
          <w:szCs w:val="22"/>
        </w:rPr>
        <w:t>s</w:t>
      </w:r>
      <w:r w:rsidR="00CA0ED6" w:rsidRPr="00996DDA">
        <w:rPr>
          <w:rFonts w:ascii="Avenir Next" w:hAnsi="Avenir Next" w:cstheme="minorHAnsi"/>
          <w:sz w:val="22"/>
          <w:szCs w:val="22"/>
        </w:rPr>
        <w:t xml:space="preserve"> to </w:t>
      </w:r>
      <w:r w:rsidR="00A52C6B">
        <w:rPr>
          <w:rFonts w:ascii="Avenir Next" w:hAnsi="Avenir Next" w:cstheme="minorHAnsi"/>
          <w:sz w:val="22"/>
          <w:szCs w:val="22"/>
        </w:rPr>
        <w:t>more than 39</w:t>
      </w:r>
      <w:r w:rsidR="00CA0ED6" w:rsidRPr="00996DDA">
        <w:rPr>
          <w:rFonts w:ascii="Avenir Next" w:hAnsi="Avenir Next" w:cstheme="minorHAnsi"/>
          <w:sz w:val="22"/>
          <w:szCs w:val="22"/>
        </w:rPr>
        <w:t xml:space="preserve"> cents per $100 of taxable value</w:t>
      </w:r>
      <w:r w:rsidR="00A52C6B">
        <w:rPr>
          <w:rFonts w:ascii="Avenir Next" w:hAnsi="Avenir Next" w:cstheme="minorHAnsi"/>
          <w:sz w:val="22"/>
          <w:szCs w:val="22"/>
        </w:rPr>
        <w:t xml:space="preserve">. There is also wide variation in community colleges’ taxable property values, resulting in dramatic differences in the funding </w:t>
      </w:r>
      <w:r w:rsidR="0078176B">
        <w:rPr>
          <w:rFonts w:ascii="Avenir Next" w:hAnsi="Avenir Next" w:cstheme="minorHAnsi"/>
          <w:sz w:val="22"/>
          <w:szCs w:val="22"/>
        </w:rPr>
        <w:t xml:space="preserve">colleges </w:t>
      </w:r>
      <w:r w:rsidR="003E139D">
        <w:rPr>
          <w:rFonts w:ascii="Avenir Next" w:hAnsi="Avenir Next" w:cstheme="minorHAnsi"/>
          <w:sz w:val="22"/>
          <w:szCs w:val="22"/>
        </w:rPr>
        <w:t>can</w:t>
      </w:r>
      <w:r w:rsidR="00A52C6B">
        <w:rPr>
          <w:rFonts w:ascii="Avenir Next" w:hAnsi="Avenir Next" w:cstheme="minorHAnsi"/>
          <w:sz w:val="22"/>
          <w:szCs w:val="22"/>
        </w:rPr>
        <w:t xml:space="preserve"> generate on their own — ranging from about $11 per full-time equivalent student per penny of tax effort to more than $1,100 per full-time equivalent student per penny of tax effort.</w:t>
      </w:r>
      <w:r w:rsidR="007334DB">
        <w:rPr>
          <w:rFonts w:ascii="Avenir Next" w:hAnsi="Avenir Next" w:cstheme="minorHAnsi"/>
          <w:sz w:val="22"/>
          <w:szCs w:val="22"/>
        </w:rPr>
        <w:t xml:space="preserve"> </w:t>
      </w:r>
    </w:p>
    <w:p w14:paraId="7363BDEC" w14:textId="77777777" w:rsidR="007334DB" w:rsidRDefault="007334DB" w:rsidP="00E15249">
      <w:pPr>
        <w:rPr>
          <w:rFonts w:ascii="Avenir Next" w:hAnsi="Avenir Next" w:cstheme="minorHAnsi"/>
          <w:sz w:val="22"/>
          <w:szCs w:val="22"/>
          <w:highlight w:val="green"/>
        </w:rPr>
      </w:pPr>
    </w:p>
    <w:p w14:paraId="14C5B244" w14:textId="162D58C0" w:rsidR="003A2A2C" w:rsidRPr="00885514" w:rsidRDefault="009C2404" w:rsidP="00885514">
      <w:pPr>
        <w:autoSpaceDE w:val="0"/>
        <w:autoSpaceDN w:val="0"/>
        <w:adjustRightInd w:val="0"/>
        <w:rPr>
          <w:rFonts w:ascii="Calibri" w:hAnsi="Calibri" w:cs="Calibri"/>
          <w:color w:val="000000"/>
          <w:sz w:val="22"/>
          <w:szCs w:val="22"/>
        </w:rPr>
      </w:pPr>
      <w:r>
        <w:rPr>
          <w:rFonts w:ascii="Avenir Next" w:hAnsi="Avenir Next" w:cstheme="minorHAnsi"/>
          <w:sz w:val="22"/>
          <w:szCs w:val="22"/>
        </w:rPr>
        <w:t>In the current biennium</w:t>
      </w:r>
      <w:r w:rsidR="004D2C00">
        <w:rPr>
          <w:rStyle w:val="CommentReference"/>
          <w:rFonts w:ascii="Avenir Next" w:hAnsi="Avenir Next" w:cstheme="minorHAnsi"/>
          <w:sz w:val="22"/>
          <w:szCs w:val="22"/>
        </w:rPr>
        <w:t xml:space="preserve">, </w:t>
      </w:r>
      <w:r w:rsidR="0060240E">
        <w:rPr>
          <w:rFonts w:ascii="Avenir Next" w:hAnsi="Avenir Next" w:cstheme="minorHAnsi"/>
          <w:sz w:val="22"/>
          <w:szCs w:val="22"/>
        </w:rPr>
        <w:t>state</w:t>
      </w:r>
      <w:r w:rsidR="00DD68EC">
        <w:rPr>
          <w:rFonts w:ascii="Avenir Next" w:hAnsi="Avenir Next" w:cstheme="minorHAnsi"/>
          <w:sz w:val="22"/>
          <w:szCs w:val="22"/>
        </w:rPr>
        <w:t xml:space="preserve"> formula</w:t>
      </w:r>
      <w:r w:rsidR="0060240E" w:rsidRPr="00996DDA">
        <w:rPr>
          <w:rFonts w:ascii="Avenir Next" w:hAnsi="Avenir Next" w:cstheme="minorHAnsi"/>
          <w:sz w:val="22"/>
          <w:szCs w:val="22"/>
        </w:rPr>
        <w:t xml:space="preserve"> </w:t>
      </w:r>
      <w:r w:rsidR="00426D7A" w:rsidRPr="00996DDA">
        <w:rPr>
          <w:rFonts w:ascii="Avenir Next" w:hAnsi="Avenir Next" w:cstheme="minorHAnsi"/>
          <w:sz w:val="22"/>
          <w:szCs w:val="22"/>
        </w:rPr>
        <w:t>funding</w:t>
      </w:r>
      <w:r w:rsidR="0060240E">
        <w:rPr>
          <w:rFonts w:ascii="Avenir Next" w:hAnsi="Avenir Next" w:cstheme="minorHAnsi"/>
          <w:sz w:val="22"/>
          <w:szCs w:val="22"/>
        </w:rPr>
        <w:t xml:space="preserve"> for community colleges</w:t>
      </w:r>
      <w:r w:rsidR="00E835DF">
        <w:rPr>
          <w:rFonts w:ascii="Avenir Next" w:hAnsi="Avenir Next" w:cstheme="minorHAnsi"/>
          <w:sz w:val="22"/>
          <w:szCs w:val="22"/>
        </w:rPr>
        <w:t xml:space="preserve"> is</w:t>
      </w:r>
      <w:r w:rsidR="007334DB">
        <w:rPr>
          <w:rFonts w:ascii="Avenir Next" w:hAnsi="Avenir Next" w:cstheme="minorHAnsi"/>
          <w:sz w:val="22"/>
          <w:szCs w:val="22"/>
        </w:rPr>
        <w:t xml:space="preserve"> about $1.8 billion,</w:t>
      </w:r>
      <w:r w:rsidR="00426D7A" w:rsidRPr="00996DDA">
        <w:rPr>
          <w:rFonts w:ascii="Avenir Next" w:hAnsi="Avenir Next" w:cstheme="minorHAnsi"/>
          <w:sz w:val="22"/>
          <w:szCs w:val="22"/>
        </w:rPr>
        <w:t xml:space="preserve"> distributed</w:t>
      </w:r>
      <w:r w:rsidR="002B6212" w:rsidRPr="00996DDA">
        <w:rPr>
          <w:rFonts w:ascii="Avenir Next" w:hAnsi="Avenir Next" w:cstheme="minorHAnsi"/>
          <w:sz w:val="22"/>
          <w:szCs w:val="22"/>
        </w:rPr>
        <w:t xml:space="preserve"> </w:t>
      </w:r>
      <w:r w:rsidR="007F2F03">
        <w:rPr>
          <w:rFonts w:ascii="Avenir Next" w:hAnsi="Avenir Next" w:cstheme="minorHAnsi"/>
          <w:sz w:val="22"/>
          <w:szCs w:val="22"/>
        </w:rPr>
        <w:t>through</w:t>
      </w:r>
      <w:r w:rsidR="007F2F03" w:rsidRPr="00996DDA">
        <w:rPr>
          <w:rFonts w:ascii="Avenir Next" w:hAnsi="Avenir Next" w:cstheme="minorHAnsi"/>
          <w:sz w:val="22"/>
          <w:szCs w:val="22"/>
        </w:rPr>
        <w:t xml:space="preserve"> </w:t>
      </w:r>
      <w:r w:rsidR="002B6212" w:rsidRPr="00996DDA">
        <w:rPr>
          <w:rFonts w:ascii="Avenir Next" w:hAnsi="Avenir Next" w:cstheme="minorHAnsi"/>
          <w:sz w:val="22"/>
          <w:szCs w:val="22"/>
        </w:rPr>
        <w:t>a</w:t>
      </w:r>
      <w:r w:rsidR="0078176B">
        <w:rPr>
          <w:rFonts w:ascii="Avenir Next" w:hAnsi="Avenir Next" w:cstheme="minorHAnsi"/>
          <w:sz w:val="22"/>
          <w:szCs w:val="22"/>
        </w:rPr>
        <w:t>n allocation</w:t>
      </w:r>
      <w:r w:rsidR="002B6212" w:rsidRPr="00996DDA">
        <w:rPr>
          <w:rFonts w:ascii="Avenir Next" w:hAnsi="Avenir Next" w:cstheme="minorHAnsi"/>
          <w:sz w:val="22"/>
          <w:szCs w:val="22"/>
        </w:rPr>
        <w:t xml:space="preserve"> </w:t>
      </w:r>
      <w:r w:rsidR="00A55DD6">
        <w:rPr>
          <w:rFonts w:ascii="Avenir Next" w:hAnsi="Avenir Next" w:cstheme="minorHAnsi"/>
          <w:sz w:val="22"/>
          <w:szCs w:val="22"/>
        </w:rPr>
        <w:t xml:space="preserve">methodology </w:t>
      </w:r>
      <w:r w:rsidR="00865FB0" w:rsidRPr="00996DDA">
        <w:rPr>
          <w:rFonts w:ascii="Avenir Next" w:hAnsi="Avenir Next" w:cstheme="minorHAnsi"/>
          <w:sz w:val="22"/>
          <w:szCs w:val="22"/>
        </w:rPr>
        <w:t xml:space="preserve">that </w:t>
      </w:r>
      <w:r w:rsidR="0060240E">
        <w:rPr>
          <w:rFonts w:ascii="Avenir Next" w:hAnsi="Avenir Next" w:cstheme="minorHAnsi"/>
          <w:sz w:val="22"/>
          <w:szCs w:val="22"/>
        </w:rPr>
        <w:t>considers</w:t>
      </w:r>
      <w:r w:rsidR="00426D7A" w:rsidRPr="00996DDA">
        <w:rPr>
          <w:rFonts w:ascii="Avenir Next" w:hAnsi="Avenir Next" w:cstheme="minorHAnsi"/>
          <w:sz w:val="22"/>
          <w:szCs w:val="22"/>
        </w:rPr>
        <w:t xml:space="preserve"> how </w:t>
      </w:r>
      <w:r w:rsidR="00865FB0" w:rsidRPr="00996DDA">
        <w:rPr>
          <w:rFonts w:ascii="Avenir Next" w:hAnsi="Avenir Next" w:cstheme="minorHAnsi"/>
          <w:sz w:val="22"/>
          <w:szCs w:val="22"/>
        </w:rPr>
        <w:t>colleges</w:t>
      </w:r>
      <w:r w:rsidR="00426D7A" w:rsidRPr="00996DDA">
        <w:rPr>
          <w:rFonts w:ascii="Avenir Next" w:hAnsi="Avenir Next" w:cstheme="minorHAnsi"/>
          <w:sz w:val="22"/>
          <w:szCs w:val="22"/>
        </w:rPr>
        <w:t xml:space="preserve"> perform in relation to one another.</w:t>
      </w:r>
      <w:r w:rsidR="002E044C" w:rsidRPr="00996DDA">
        <w:rPr>
          <w:rFonts w:ascii="Avenir Next" w:hAnsi="Avenir Next" w:cstheme="minorHAnsi"/>
          <w:sz w:val="22"/>
          <w:szCs w:val="22"/>
        </w:rPr>
        <w:t xml:space="preserve"> </w:t>
      </w:r>
      <w:r w:rsidR="0060240E">
        <w:rPr>
          <w:rFonts w:ascii="Avenir Next" w:hAnsi="Avenir Next" w:cstheme="minorHAnsi"/>
          <w:sz w:val="22"/>
          <w:szCs w:val="22"/>
        </w:rPr>
        <w:t>The formula</w:t>
      </w:r>
      <w:r w:rsidR="0060240E" w:rsidRPr="00996DDA">
        <w:rPr>
          <w:rFonts w:ascii="Avenir Next" w:hAnsi="Avenir Next" w:cstheme="minorHAnsi"/>
          <w:sz w:val="22"/>
          <w:szCs w:val="22"/>
        </w:rPr>
        <w:t xml:space="preserve"> </w:t>
      </w:r>
      <w:r w:rsidR="00554061" w:rsidRPr="00996DDA">
        <w:rPr>
          <w:rFonts w:ascii="Avenir Next" w:hAnsi="Avenir Next" w:cstheme="minorHAnsi"/>
          <w:sz w:val="22"/>
          <w:szCs w:val="22"/>
        </w:rPr>
        <w:t xml:space="preserve">is </w:t>
      </w:r>
      <w:commentRangeStart w:id="6"/>
      <w:r w:rsidR="002B6212" w:rsidRPr="00996DDA">
        <w:rPr>
          <w:rFonts w:ascii="Avenir Next" w:hAnsi="Avenir Next" w:cstheme="minorHAnsi"/>
          <w:sz w:val="22"/>
          <w:szCs w:val="22"/>
          <w:highlight w:val="green"/>
        </w:rPr>
        <w:t>primarily driven by “contact hours” tied to student enrollment</w:t>
      </w:r>
      <w:r w:rsidR="0060240E">
        <w:rPr>
          <w:rFonts w:ascii="Avenir Next" w:hAnsi="Avenir Next" w:cstheme="minorHAnsi"/>
          <w:sz w:val="22"/>
          <w:szCs w:val="22"/>
          <w:highlight w:val="green"/>
        </w:rPr>
        <w:t>s</w:t>
      </w:r>
      <w:r w:rsidR="002B6212" w:rsidRPr="00996DDA">
        <w:rPr>
          <w:rFonts w:ascii="Avenir Next" w:hAnsi="Avenir Next" w:cstheme="minorHAnsi"/>
          <w:sz w:val="22"/>
          <w:szCs w:val="22"/>
          <w:highlight w:val="green"/>
        </w:rPr>
        <w:t xml:space="preserve"> and </w:t>
      </w:r>
      <w:r w:rsidR="0060240E">
        <w:rPr>
          <w:rFonts w:ascii="Avenir Next" w:hAnsi="Avenir Next" w:cstheme="minorHAnsi"/>
          <w:sz w:val="22"/>
          <w:szCs w:val="22"/>
          <w:highlight w:val="green"/>
        </w:rPr>
        <w:t xml:space="preserve">types of </w:t>
      </w:r>
      <w:r w:rsidR="002B6212" w:rsidRPr="00996DDA">
        <w:rPr>
          <w:rFonts w:ascii="Avenir Next" w:hAnsi="Avenir Next" w:cstheme="minorHAnsi"/>
          <w:sz w:val="22"/>
          <w:szCs w:val="22"/>
          <w:highlight w:val="green"/>
        </w:rPr>
        <w:t xml:space="preserve">courses delivered. </w:t>
      </w:r>
      <w:commentRangeEnd w:id="6"/>
      <w:r w:rsidR="002B6212" w:rsidRPr="00996DDA">
        <w:rPr>
          <w:rStyle w:val="CommentReference"/>
          <w:rFonts w:ascii="Avenir Next" w:hAnsi="Avenir Next" w:cstheme="minorHAnsi"/>
          <w:sz w:val="22"/>
          <w:szCs w:val="22"/>
          <w:highlight w:val="green"/>
        </w:rPr>
        <w:commentReference w:id="6"/>
      </w:r>
      <w:r w:rsidR="002B6212" w:rsidRPr="00996DDA">
        <w:rPr>
          <w:rFonts w:ascii="Avenir Next" w:eastAsia="Avenir Next LT Pro" w:hAnsi="Avenir Next" w:cstheme="minorHAnsi"/>
          <w:color w:val="000000" w:themeColor="text1"/>
          <w:sz w:val="22"/>
          <w:szCs w:val="22"/>
        </w:rPr>
        <w:t xml:space="preserve"> </w:t>
      </w:r>
      <w:r w:rsidR="007F2F03">
        <w:rPr>
          <w:rFonts w:ascii="Avenir Next" w:eastAsia="Avenir Next LT Pro" w:hAnsi="Avenir Next" w:cstheme="minorHAnsi"/>
          <w:color w:val="000000" w:themeColor="text1"/>
          <w:sz w:val="22"/>
          <w:szCs w:val="22"/>
        </w:rPr>
        <w:t>It</w:t>
      </w:r>
      <w:r w:rsidR="002B6212" w:rsidRPr="00996DDA">
        <w:rPr>
          <w:rFonts w:ascii="Avenir Next" w:eastAsia="Avenir Next LT Pro" w:hAnsi="Avenir Next" w:cstheme="minorHAnsi"/>
          <w:color w:val="000000" w:themeColor="text1"/>
          <w:sz w:val="22"/>
          <w:szCs w:val="22"/>
        </w:rPr>
        <w:t xml:space="preserve"> also </w:t>
      </w:r>
      <w:r w:rsidR="0060240E">
        <w:rPr>
          <w:rFonts w:ascii="Avenir Next" w:eastAsia="Avenir Next LT Pro" w:hAnsi="Avenir Next" w:cstheme="minorHAnsi"/>
          <w:color w:val="000000" w:themeColor="text1"/>
          <w:sz w:val="22"/>
          <w:szCs w:val="22"/>
        </w:rPr>
        <w:t>includes</w:t>
      </w:r>
      <w:r w:rsidR="0060240E" w:rsidRPr="00996DDA">
        <w:rPr>
          <w:rFonts w:ascii="Avenir Next" w:eastAsia="Avenir Next LT Pro" w:hAnsi="Avenir Next" w:cstheme="minorHAnsi"/>
          <w:color w:val="000000" w:themeColor="text1"/>
          <w:sz w:val="22"/>
          <w:szCs w:val="22"/>
        </w:rPr>
        <w:t xml:space="preserve"> </w:t>
      </w:r>
      <w:r w:rsidR="00162B68">
        <w:rPr>
          <w:rFonts w:ascii="Avenir Next" w:eastAsia="Avenir Next LT Pro" w:hAnsi="Avenir Next" w:cstheme="minorHAnsi"/>
          <w:color w:val="000000" w:themeColor="text1"/>
          <w:sz w:val="22"/>
          <w:szCs w:val="22"/>
        </w:rPr>
        <w:t>“</w:t>
      </w:r>
      <w:r w:rsidR="002B6212" w:rsidRPr="00996DDA">
        <w:rPr>
          <w:rFonts w:ascii="Avenir Next" w:eastAsia="Avenir Next LT Pro" w:hAnsi="Avenir Next" w:cstheme="minorHAnsi"/>
          <w:color w:val="000000" w:themeColor="text1"/>
          <w:sz w:val="22"/>
          <w:szCs w:val="22"/>
        </w:rPr>
        <w:t>success points</w:t>
      </w:r>
      <w:r w:rsidR="00162B68">
        <w:rPr>
          <w:rFonts w:ascii="Avenir Next" w:eastAsia="Avenir Next LT Pro" w:hAnsi="Avenir Next" w:cstheme="minorHAnsi"/>
          <w:color w:val="000000" w:themeColor="text1"/>
          <w:sz w:val="22"/>
          <w:szCs w:val="22"/>
        </w:rPr>
        <w:t>”</w:t>
      </w:r>
      <w:r w:rsidR="0060240E">
        <w:rPr>
          <w:rFonts w:ascii="Avenir Next" w:eastAsia="Avenir Next LT Pro" w:hAnsi="Avenir Next" w:cstheme="minorHAnsi"/>
          <w:color w:val="000000" w:themeColor="text1"/>
          <w:sz w:val="22"/>
          <w:szCs w:val="22"/>
        </w:rPr>
        <w:t>—</w:t>
      </w:r>
      <w:r>
        <w:rPr>
          <w:rFonts w:ascii="Avenir Next" w:eastAsia="Avenir Next LT Pro" w:hAnsi="Avenir Next" w:cstheme="minorHAnsi"/>
          <w:color w:val="000000" w:themeColor="text1"/>
          <w:sz w:val="22"/>
          <w:szCs w:val="22"/>
        </w:rPr>
        <w:t xml:space="preserve"> </w:t>
      </w:r>
      <w:r w:rsidR="0060240E">
        <w:rPr>
          <w:rFonts w:ascii="Avenir Next" w:eastAsia="Avenir Next LT Pro" w:hAnsi="Avenir Next" w:cstheme="minorHAnsi"/>
          <w:color w:val="000000" w:themeColor="text1"/>
          <w:sz w:val="22"/>
          <w:szCs w:val="22"/>
        </w:rPr>
        <w:t>based on specific metrics</w:t>
      </w:r>
      <w:r w:rsidR="0060240E" w:rsidRPr="00996DDA">
        <w:rPr>
          <w:rFonts w:ascii="Avenir Next" w:eastAsia="Avenir Next LT Pro" w:hAnsi="Avenir Next" w:cstheme="minorHAnsi"/>
          <w:color w:val="000000" w:themeColor="text1"/>
          <w:sz w:val="22"/>
          <w:szCs w:val="22"/>
        </w:rPr>
        <w:t xml:space="preserve"> </w:t>
      </w:r>
      <w:r w:rsidR="002B6212" w:rsidRPr="00996DDA">
        <w:rPr>
          <w:rFonts w:ascii="Avenir Next" w:eastAsia="Avenir Next LT Pro" w:hAnsi="Avenir Next" w:cstheme="minorHAnsi"/>
          <w:color w:val="000000" w:themeColor="text1"/>
          <w:sz w:val="22"/>
          <w:szCs w:val="22"/>
        </w:rPr>
        <w:t xml:space="preserve">colleges have </w:t>
      </w:r>
      <w:r w:rsidR="0060240E">
        <w:rPr>
          <w:rFonts w:ascii="Avenir Next" w:eastAsia="Avenir Next LT Pro" w:hAnsi="Avenir Next" w:cstheme="minorHAnsi"/>
          <w:color w:val="000000" w:themeColor="text1"/>
          <w:sz w:val="22"/>
          <w:szCs w:val="22"/>
        </w:rPr>
        <w:t>met</w:t>
      </w:r>
      <w:r w:rsidR="0060240E" w:rsidRPr="00996DDA">
        <w:rPr>
          <w:rFonts w:ascii="Avenir Next" w:eastAsia="Avenir Next LT Pro" w:hAnsi="Avenir Next" w:cstheme="minorHAnsi"/>
          <w:color w:val="000000" w:themeColor="text1"/>
          <w:sz w:val="22"/>
          <w:szCs w:val="22"/>
        </w:rPr>
        <w:t xml:space="preserve"> </w:t>
      </w:r>
      <w:r w:rsidR="002B6212" w:rsidRPr="00996DDA">
        <w:rPr>
          <w:rFonts w:ascii="Avenir Next" w:eastAsia="Avenir Next LT Pro" w:hAnsi="Avenir Next" w:cstheme="minorHAnsi"/>
          <w:color w:val="000000" w:themeColor="text1"/>
          <w:sz w:val="22"/>
          <w:szCs w:val="22"/>
        </w:rPr>
        <w:t>over the previous three years</w:t>
      </w:r>
      <w:r>
        <w:rPr>
          <w:rFonts w:ascii="Avenir Next" w:eastAsia="Avenir Next LT Pro" w:hAnsi="Avenir Next" w:cstheme="minorHAnsi"/>
          <w:color w:val="000000" w:themeColor="text1"/>
          <w:sz w:val="22"/>
          <w:szCs w:val="22"/>
        </w:rPr>
        <w:t xml:space="preserve"> </w:t>
      </w:r>
      <w:r w:rsidR="0060240E">
        <w:rPr>
          <w:rFonts w:ascii="Avenir Next" w:eastAsia="Avenir Next LT Pro" w:hAnsi="Avenir Next" w:cstheme="minorHAnsi"/>
          <w:color w:val="000000" w:themeColor="text1"/>
          <w:sz w:val="22"/>
          <w:szCs w:val="22"/>
        </w:rPr>
        <w:t>—</w:t>
      </w:r>
      <w:r>
        <w:rPr>
          <w:rFonts w:ascii="Avenir Next" w:eastAsia="Avenir Next LT Pro" w:hAnsi="Avenir Next" w:cstheme="minorHAnsi"/>
          <w:color w:val="000000" w:themeColor="text1"/>
          <w:sz w:val="22"/>
          <w:szCs w:val="22"/>
        </w:rPr>
        <w:t xml:space="preserve"> </w:t>
      </w:r>
      <w:r w:rsidR="0060240E">
        <w:rPr>
          <w:rFonts w:ascii="Avenir Next" w:eastAsia="Avenir Next LT Pro" w:hAnsi="Avenir Next" w:cstheme="minorHAnsi"/>
          <w:color w:val="000000" w:themeColor="text1"/>
          <w:sz w:val="22"/>
          <w:szCs w:val="22"/>
        </w:rPr>
        <w:t>and</w:t>
      </w:r>
      <w:r w:rsidR="002B6212" w:rsidRPr="00996DDA">
        <w:rPr>
          <w:rFonts w:ascii="Avenir Next" w:eastAsia="Avenir Next LT Pro" w:hAnsi="Avenir Next" w:cstheme="minorHAnsi"/>
          <w:color w:val="000000" w:themeColor="text1"/>
          <w:sz w:val="22"/>
          <w:szCs w:val="22"/>
        </w:rPr>
        <w:t xml:space="preserve"> a uniform amount of “core” </w:t>
      </w:r>
      <w:r w:rsidR="00554061" w:rsidRPr="00996DDA">
        <w:rPr>
          <w:rFonts w:ascii="Avenir Next" w:eastAsia="Avenir Next LT Pro" w:hAnsi="Avenir Next" w:cstheme="minorHAnsi"/>
          <w:color w:val="000000" w:themeColor="text1"/>
          <w:sz w:val="22"/>
          <w:szCs w:val="22"/>
        </w:rPr>
        <w:t xml:space="preserve">funding </w:t>
      </w:r>
      <w:r w:rsidR="002B6212" w:rsidRPr="00996DDA">
        <w:rPr>
          <w:rFonts w:ascii="Avenir Next" w:eastAsia="Avenir Next LT Pro" w:hAnsi="Avenir Next" w:cstheme="minorHAnsi"/>
          <w:color w:val="000000" w:themeColor="text1"/>
          <w:sz w:val="22"/>
          <w:szCs w:val="22"/>
        </w:rPr>
        <w:t>allocated to each college.</w:t>
      </w:r>
    </w:p>
    <w:p w14:paraId="198BBE0B" w14:textId="77777777" w:rsidR="00EA714B" w:rsidRPr="00E835DF" w:rsidRDefault="00EA714B" w:rsidP="00EB52C5">
      <w:pPr>
        <w:rPr>
          <w:rFonts w:ascii="Avenir Next" w:hAnsi="Avenir Next" w:cstheme="minorHAnsi"/>
          <w:sz w:val="22"/>
          <w:szCs w:val="22"/>
        </w:rPr>
      </w:pPr>
    </w:p>
    <w:p w14:paraId="342C836A" w14:textId="393AE939" w:rsidR="008E1CCA" w:rsidRPr="00E835DF" w:rsidRDefault="00E835DF" w:rsidP="00EB52C5">
      <w:pPr>
        <w:rPr>
          <w:rFonts w:ascii="Avenir Next" w:hAnsi="Avenir Next" w:cstheme="minorHAnsi"/>
          <w:sz w:val="22"/>
          <w:szCs w:val="22"/>
        </w:rPr>
      </w:pPr>
      <w:r>
        <w:rPr>
          <w:rFonts w:ascii="Avenir Next" w:hAnsi="Avenir Next" w:cstheme="minorHAnsi"/>
          <w:sz w:val="22"/>
          <w:szCs w:val="22"/>
        </w:rPr>
        <w:t xml:space="preserve">The state </w:t>
      </w:r>
      <w:r w:rsidR="00CE4837">
        <w:rPr>
          <w:rFonts w:ascii="Avenir Next" w:hAnsi="Avenir Next" w:cstheme="minorHAnsi"/>
          <w:sz w:val="22"/>
          <w:szCs w:val="22"/>
        </w:rPr>
        <w:t>has the opportunity to</w:t>
      </w:r>
      <w:r>
        <w:rPr>
          <w:rFonts w:ascii="Avenir Next" w:hAnsi="Avenir Next" w:cstheme="minorHAnsi"/>
          <w:sz w:val="22"/>
          <w:szCs w:val="22"/>
        </w:rPr>
        <w:t xml:space="preserve"> develop a new funding model that</w:t>
      </w:r>
      <w:r w:rsidRPr="00996DDA">
        <w:rPr>
          <w:rFonts w:ascii="Avenir Next" w:hAnsi="Avenir Next" w:cstheme="minorHAnsi"/>
          <w:sz w:val="22"/>
          <w:szCs w:val="22"/>
        </w:rPr>
        <w:t xml:space="preserve"> </w:t>
      </w:r>
      <w:r w:rsidR="00316985">
        <w:rPr>
          <w:rFonts w:ascii="Avenir Next" w:hAnsi="Avenir Next" w:cstheme="minorHAnsi"/>
          <w:sz w:val="22"/>
          <w:szCs w:val="22"/>
        </w:rPr>
        <w:t xml:space="preserve">generates </w:t>
      </w:r>
      <w:r>
        <w:rPr>
          <w:rFonts w:ascii="Avenir Next" w:hAnsi="Avenir Next" w:cstheme="minorHAnsi"/>
          <w:sz w:val="22"/>
          <w:szCs w:val="22"/>
        </w:rPr>
        <w:t xml:space="preserve">more </w:t>
      </w:r>
      <w:r w:rsidR="009E4716" w:rsidRPr="00E835DF">
        <w:rPr>
          <w:rFonts w:ascii="Avenir Next" w:hAnsi="Avenir Next" w:cstheme="minorHAnsi"/>
          <w:sz w:val="22"/>
          <w:szCs w:val="22"/>
        </w:rPr>
        <w:t xml:space="preserve">consistent </w:t>
      </w:r>
      <w:r w:rsidR="00CC2049">
        <w:rPr>
          <w:rFonts w:ascii="Avenir Next" w:hAnsi="Avenir Next" w:cstheme="minorHAnsi"/>
          <w:sz w:val="22"/>
          <w:szCs w:val="22"/>
        </w:rPr>
        <w:t xml:space="preserve">base levels of </w:t>
      </w:r>
      <w:r w:rsidR="009E4716" w:rsidRPr="00E835DF">
        <w:rPr>
          <w:rFonts w:ascii="Avenir Next" w:hAnsi="Avenir Next" w:cstheme="minorHAnsi"/>
          <w:sz w:val="22"/>
          <w:szCs w:val="22"/>
        </w:rPr>
        <w:t xml:space="preserve">funding </w:t>
      </w:r>
      <w:r w:rsidR="00CC2049">
        <w:rPr>
          <w:rFonts w:ascii="Avenir Next" w:hAnsi="Avenir Next" w:cstheme="minorHAnsi"/>
          <w:sz w:val="22"/>
          <w:szCs w:val="22"/>
        </w:rPr>
        <w:t xml:space="preserve">for instruction and operations </w:t>
      </w:r>
      <w:r w:rsidR="00726C20" w:rsidRPr="00E835DF">
        <w:rPr>
          <w:rFonts w:ascii="Avenir Next" w:hAnsi="Avenir Next" w:cstheme="minorHAnsi"/>
          <w:sz w:val="22"/>
          <w:szCs w:val="22"/>
        </w:rPr>
        <w:t>across</w:t>
      </w:r>
      <w:r w:rsidR="009E4716" w:rsidRPr="00E835DF">
        <w:rPr>
          <w:rFonts w:ascii="Avenir Next" w:hAnsi="Avenir Next" w:cstheme="minorHAnsi"/>
          <w:sz w:val="22"/>
          <w:szCs w:val="22"/>
        </w:rPr>
        <w:t xml:space="preserve"> </w:t>
      </w:r>
      <w:r w:rsidR="00CC2049">
        <w:rPr>
          <w:rFonts w:ascii="Avenir Next" w:hAnsi="Avenir Next" w:cstheme="minorHAnsi"/>
          <w:sz w:val="22"/>
          <w:szCs w:val="22"/>
        </w:rPr>
        <w:t>community colleges</w:t>
      </w:r>
      <w:r>
        <w:rPr>
          <w:rFonts w:ascii="Avenir Next" w:hAnsi="Avenir Next" w:cstheme="minorHAnsi"/>
          <w:sz w:val="22"/>
          <w:szCs w:val="22"/>
        </w:rPr>
        <w:t xml:space="preserve">. </w:t>
      </w:r>
      <w:r w:rsidR="00CC2049">
        <w:rPr>
          <w:rFonts w:ascii="Avenir Next" w:hAnsi="Avenir Next" w:cstheme="minorHAnsi"/>
          <w:sz w:val="22"/>
          <w:szCs w:val="22"/>
        </w:rPr>
        <w:t>In particular, the new</w:t>
      </w:r>
      <w:r w:rsidR="00CE4837">
        <w:rPr>
          <w:rFonts w:ascii="Avenir Next" w:hAnsi="Avenir Next" w:cstheme="minorHAnsi"/>
          <w:sz w:val="22"/>
          <w:szCs w:val="22"/>
        </w:rPr>
        <w:t xml:space="preserve"> model</w:t>
      </w:r>
      <w:r>
        <w:rPr>
          <w:rFonts w:ascii="Avenir Next" w:hAnsi="Avenir Next" w:cstheme="minorHAnsi"/>
          <w:sz w:val="22"/>
          <w:szCs w:val="22"/>
        </w:rPr>
        <w:t xml:space="preserve"> must</w:t>
      </w:r>
      <w:r w:rsidR="002770C1" w:rsidRPr="00E835DF">
        <w:rPr>
          <w:rFonts w:ascii="Avenir Next" w:hAnsi="Avenir Next" w:cstheme="minorHAnsi"/>
          <w:sz w:val="22"/>
          <w:szCs w:val="22"/>
        </w:rPr>
        <w:t xml:space="preserve"> </w:t>
      </w:r>
      <w:r>
        <w:rPr>
          <w:rFonts w:ascii="Avenir Next" w:hAnsi="Avenir Next" w:cstheme="minorHAnsi"/>
          <w:sz w:val="22"/>
          <w:szCs w:val="22"/>
        </w:rPr>
        <w:t>ensure that</w:t>
      </w:r>
      <w:r w:rsidRPr="00E835DF">
        <w:rPr>
          <w:rFonts w:ascii="Avenir Next" w:hAnsi="Avenir Next" w:cstheme="minorHAnsi"/>
          <w:sz w:val="22"/>
          <w:szCs w:val="22"/>
        </w:rPr>
        <w:t xml:space="preserve"> </w:t>
      </w:r>
      <w:r w:rsidR="008E512A" w:rsidRPr="00E835DF">
        <w:rPr>
          <w:rFonts w:ascii="Avenir Next" w:hAnsi="Avenir Next" w:cstheme="minorHAnsi"/>
          <w:sz w:val="22"/>
          <w:szCs w:val="22"/>
        </w:rPr>
        <w:t>small</w:t>
      </w:r>
      <w:r w:rsidR="002C3D06" w:rsidRPr="00E835DF">
        <w:rPr>
          <w:rFonts w:ascii="Avenir Next" w:hAnsi="Avenir Next" w:cstheme="minorHAnsi"/>
          <w:sz w:val="22"/>
          <w:szCs w:val="22"/>
        </w:rPr>
        <w:t xml:space="preserve"> and rural-serving colleges </w:t>
      </w:r>
      <w:r w:rsidR="00351DBA" w:rsidRPr="00E835DF">
        <w:rPr>
          <w:rFonts w:ascii="Avenir Next" w:hAnsi="Avenir Next" w:cstheme="minorHAnsi"/>
          <w:sz w:val="22"/>
          <w:szCs w:val="22"/>
        </w:rPr>
        <w:t>with</w:t>
      </w:r>
      <w:r w:rsidR="00AA2DD4" w:rsidRPr="00E835DF">
        <w:rPr>
          <w:rFonts w:ascii="Avenir Next" w:hAnsi="Avenir Next" w:cstheme="minorHAnsi"/>
          <w:sz w:val="22"/>
          <w:szCs w:val="22"/>
        </w:rPr>
        <w:t xml:space="preserve"> lower property values </w:t>
      </w:r>
      <w:r>
        <w:rPr>
          <w:rFonts w:ascii="Avenir Next" w:hAnsi="Avenir Next" w:cstheme="minorHAnsi"/>
          <w:sz w:val="22"/>
          <w:szCs w:val="22"/>
        </w:rPr>
        <w:t>have</w:t>
      </w:r>
      <w:r w:rsidR="002C3D06" w:rsidRPr="00E835DF">
        <w:rPr>
          <w:rFonts w:ascii="Avenir Next" w:hAnsi="Avenir Next" w:cstheme="minorHAnsi"/>
          <w:sz w:val="22"/>
          <w:szCs w:val="22"/>
        </w:rPr>
        <w:t xml:space="preserve"> </w:t>
      </w:r>
      <w:r w:rsidR="002B6212" w:rsidRPr="00E835DF">
        <w:rPr>
          <w:rFonts w:ascii="Avenir Next" w:hAnsi="Avenir Next" w:cstheme="minorHAnsi"/>
          <w:sz w:val="22"/>
          <w:szCs w:val="22"/>
        </w:rPr>
        <w:t xml:space="preserve">the </w:t>
      </w:r>
      <w:r w:rsidR="008A4C3B" w:rsidRPr="00E835DF">
        <w:rPr>
          <w:rFonts w:ascii="Avenir Next" w:hAnsi="Avenir Next" w:cstheme="minorHAnsi"/>
          <w:sz w:val="22"/>
          <w:szCs w:val="22"/>
        </w:rPr>
        <w:t xml:space="preserve">resources </w:t>
      </w:r>
      <w:r w:rsidR="00F163DF" w:rsidRPr="00E835DF">
        <w:rPr>
          <w:rFonts w:ascii="Avenir Next" w:hAnsi="Avenir Next" w:cstheme="minorHAnsi"/>
          <w:sz w:val="22"/>
          <w:szCs w:val="22"/>
        </w:rPr>
        <w:t xml:space="preserve">needed </w:t>
      </w:r>
      <w:r w:rsidR="002C3D06" w:rsidRPr="00E835DF">
        <w:rPr>
          <w:rFonts w:ascii="Avenir Next" w:hAnsi="Avenir Next" w:cstheme="minorHAnsi"/>
          <w:sz w:val="22"/>
          <w:szCs w:val="22"/>
        </w:rPr>
        <w:t xml:space="preserve">to serve students </w:t>
      </w:r>
      <w:r w:rsidR="00C0403E" w:rsidRPr="00E835DF">
        <w:rPr>
          <w:rFonts w:ascii="Avenir Next" w:hAnsi="Avenir Next" w:cstheme="minorHAnsi"/>
          <w:sz w:val="22"/>
          <w:szCs w:val="22"/>
        </w:rPr>
        <w:t xml:space="preserve">inside and outside their </w:t>
      </w:r>
      <w:r w:rsidR="00AA2DD4" w:rsidRPr="00E835DF">
        <w:rPr>
          <w:rFonts w:ascii="Avenir Next" w:hAnsi="Avenir Next" w:cstheme="minorHAnsi"/>
          <w:sz w:val="22"/>
          <w:szCs w:val="22"/>
        </w:rPr>
        <w:t xml:space="preserve">service areas </w:t>
      </w:r>
      <w:r>
        <w:rPr>
          <w:rFonts w:ascii="Avenir Next" w:hAnsi="Avenir Next" w:cstheme="minorHAnsi"/>
          <w:sz w:val="22"/>
          <w:szCs w:val="22"/>
        </w:rPr>
        <w:t>and</w:t>
      </w:r>
      <w:r w:rsidRPr="00E835DF">
        <w:rPr>
          <w:rFonts w:ascii="Avenir Next" w:hAnsi="Avenir Next" w:cstheme="minorHAnsi"/>
          <w:sz w:val="22"/>
          <w:szCs w:val="22"/>
        </w:rPr>
        <w:t xml:space="preserve"> </w:t>
      </w:r>
      <w:r w:rsidR="009C2404">
        <w:rPr>
          <w:rFonts w:ascii="Avenir Next" w:hAnsi="Avenir Next" w:cstheme="minorHAnsi"/>
          <w:sz w:val="22"/>
          <w:szCs w:val="22"/>
        </w:rPr>
        <w:t xml:space="preserve">to </w:t>
      </w:r>
      <w:r w:rsidR="00C0403E" w:rsidRPr="00E835DF">
        <w:rPr>
          <w:rFonts w:ascii="Avenir Next" w:hAnsi="Avenir Next" w:cstheme="minorHAnsi"/>
          <w:sz w:val="22"/>
          <w:szCs w:val="22"/>
        </w:rPr>
        <w:t>meet local employers' workforce requirements</w:t>
      </w:r>
      <w:r w:rsidR="009E4716" w:rsidRPr="00E835DF">
        <w:rPr>
          <w:rFonts w:ascii="Avenir Next" w:hAnsi="Avenir Next" w:cstheme="minorHAnsi"/>
          <w:sz w:val="22"/>
          <w:szCs w:val="22"/>
        </w:rPr>
        <w:t xml:space="preserve">. </w:t>
      </w:r>
    </w:p>
    <w:p w14:paraId="19F0A189" w14:textId="5533942D" w:rsidR="003A2A2C" w:rsidRPr="00996DDA" w:rsidRDefault="003A2A2C" w:rsidP="00EB52C5">
      <w:pPr>
        <w:rPr>
          <w:rFonts w:ascii="Avenir Next" w:hAnsi="Avenir Next" w:cstheme="minorHAnsi"/>
          <w:sz w:val="22"/>
          <w:szCs w:val="22"/>
        </w:rPr>
      </w:pPr>
    </w:p>
    <w:p w14:paraId="32131B59" w14:textId="35869E61" w:rsidR="008D76C0" w:rsidRDefault="004D2C00" w:rsidP="00825E8F">
      <w:pPr>
        <w:rPr>
          <w:rFonts w:ascii="Avenir Next" w:hAnsi="Avenir Next" w:cstheme="minorHAnsi"/>
          <w:sz w:val="22"/>
          <w:szCs w:val="22"/>
        </w:rPr>
      </w:pPr>
      <w:r>
        <w:rPr>
          <w:rFonts w:ascii="Avenir Next" w:hAnsi="Avenir Next" w:cstheme="minorHAnsi"/>
          <w:sz w:val="22"/>
          <w:szCs w:val="22"/>
        </w:rPr>
        <w:t xml:space="preserve">The new funding model </w:t>
      </w:r>
      <w:r w:rsidR="00E835DF">
        <w:rPr>
          <w:rFonts w:ascii="Avenir Next" w:hAnsi="Avenir Next" w:cstheme="minorHAnsi"/>
          <w:sz w:val="22"/>
          <w:szCs w:val="22"/>
        </w:rPr>
        <w:t>should</w:t>
      </w:r>
      <w:r w:rsidR="00CC2049">
        <w:rPr>
          <w:rFonts w:ascii="Avenir Next" w:hAnsi="Avenir Next" w:cstheme="minorHAnsi"/>
          <w:sz w:val="22"/>
          <w:szCs w:val="22"/>
        </w:rPr>
        <w:t xml:space="preserve"> also</w:t>
      </w:r>
      <w:r w:rsidR="003A2A2C" w:rsidRPr="00996DDA">
        <w:rPr>
          <w:rFonts w:ascii="Avenir Next" w:hAnsi="Avenir Next" w:cstheme="minorHAnsi"/>
          <w:sz w:val="22"/>
          <w:szCs w:val="22"/>
        </w:rPr>
        <w:t xml:space="preserve"> </w:t>
      </w:r>
      <w:r w:rsidR="002E044C" w:rsidRPr="00996DDA">
        <w:rPr>
          <w:rFonts w:ascii="Avenir Next" w:hAnsi="Avenir Next" w:cstheme="minorHAnsi"/>
          <w:sz w:val="22"/>
          <w:szCs w:val="22"/>
        </w:rPr>
        <w:t xml:space="preserve">incentivize </w:t>
      </w:r>
      <w:r>
        <w:rPr>
          <w:rFonts w:ascii="Avenir Next" w:hAnsi="Avenir Next" w:cstheme="minorHAnsi"/>
          <w:sz w:val="22"/>
          <w:szCs w:val="22"/>
        </w:rPr>
        <w:t xml:space="preserve">and </w:t>
      </w:r>
      <w:r w:rsidR="003A2A2C" w:rsidRPr="00996DDA">
        <w:rPr>
          <w:rFonts w:ascii="Avenir Next" w:hAnsi="Avenir Next" w:cstheme="minorHAnsi"/>
          <w:sz w:val="22"/>
          <w:szCs w:val="22"/>
        </w:rPr>
        <w:t xml:space="preserve">empower </w:t>
      </w:r>
      <w:r w:rsidR="00E835DF">
        <w:rPr>
          <w:rFonts w:ascii="Avenir Next" w:hAnsi="Avenir Next" w:cstheme="minorHAnsi"/>
          <w:sz w:val="22"/>
          <w:szCs w:val="22"/>
        </w:rPr>
        <w:t>Texas’</w:t>
      </w:r>
      <w:r w:rsidR="003A2A2C" w:rsidRPr="00996DDA">
        <w:rPr>
          <w:rFonts w:ascii="Avenir Next" w:hAnsi="Avenir Next" w:cstheme="minorHAnsi"/>
          <w:sz w:val="22"/>
          <w:szCs w:val="22"/>
        </w:rPr>
        <w:t xml:space="preserve"> 50 community </w:t>
      </w:r>
      <w:r w:rsidR="00CD1A22">
        <w:rPr>
          <w:rFonts w:ascii="Avenir Next" w:hAnsi="Avenir Next" w:cstheme="minorHAnsi"/>
          <w:sz w:val="22"/>
          <w:szCs w:val="22"/>
        </w:rPr>
        <w:t>colleges</w:t>
      </w:r>
      <w:r w:rsidR="003A2A2C" w:rsidRPr="00996DDA">
        <w:rPr>
          <w:rFonts w:ascii="Avenir Next" w:hAnsi="Avenir Next" w:cstheme="minorHAnsi"/>
          <w:sz w:val="22"/>
          <w:szCs w:val="22"/>
        </w:rPr>
        <w:t xml:space="preserve"> to train, support, and offer credentials of value to students from all backgrounds so they </w:t>
      </w:r>
      <w:r w:rsidR="00F163DF" w:rsidRPr="00996DDA">
        <w:rPr>
          <w:rFonts w:ascii="Avenir Next" w:hAnsi="Avenir Next" w:cstheme="minorHAnsi"/>
          <w:sz w:val="22"/>
          <w:szCs w:val="22"/>
        </w:rPr>
        <w:t xml:space="preserve">can </w:t>
      </w:r>
      <w:r w:rsidR="003A2A2C" w:rsidRPr="00996DDA">
        <w:rPr>
          <w:rFonts w:ascii="Avenir Next" w:hAnsi="Avenir Next" w:cstheme="minorHAnsi"/>
          <w:sz w:val="22"/>
          <w:szCs w:val="22"/>
        </w:rPr>
        <w:t>meet employers</w:t>
      </w:r>
      <w:r w:rsidR="00351DBA">
        <w:rPr>
          <w:rFonts w:ascii="Avenir Next" w:hAnsi="Avenir Next" w:cstheme="minorHAnsi"/>
          <w:sz w:val="22"/>
          <w:szCs w:val="22"/>
        </w:rPr>
        <w:t>’ needs</w:t>
      </w:r>
      <w:r w:rsidR="003A2A2C" w:rsidRPr="00996DDA">
        <w:rPr>
          <w:rFonts w:ascii="Avenir Next" w:hAnsi="Avenir Next" w:cstheme="minorHAnsi"/>
          <w:sz w:val="22"/>
          <w:szCs w:val="22"/>
        </w:rPr>
        <w:t xml:space="preserve"> today and tomorrow.</w:t>
      </w:r>
      <w:r w:rsidR="00E259BC">
        <w:rPr>
          <w:rFonts w:ascii="Avenir Next" w:hAnsi="Avenir Next" w:cstheme="minorHAnsi"/>
          <w:sz w:val="22"/>
          <w:szCs w:val="22"/>
        </w:rPr>
        <w:t xml:space="preserve"> Texas </w:t>
      </w:r>
      <w:r w:rsidR="001F5A88">
        <w:rPr>
          <w:rFonts w:ascii="Avenir Next" w:hAnsi="Avenir Next" w:cstheme="minorHAnsi"/>
          <w:sz w:val="22"/>
          <w:szCs w:val="22"/>
        </w:rPr>
        <w:t xml:space="preserve">is one of the most diverse states, </w:t>
      </w:r>
      <w:r w:rsidR="001F3400">
        <w:rPr>
          <w:rFonts w:ascii="Avenir Next" w:hAnsi="Avenir Next" w:cstheme="minorHAnsi"/>
          <w:sz w:val="22"/>
          <w:szCs w:val="22"/>
        </w:rPr>
        <w:t xml:space="preserve">and </w:t>
      </w:r>
      <w:r w:rsidR="000F778D">
        <w:rPr>
          <w:rFonts w:ascii="Avenir Next" w:hAnsi="Avenir Next" w:cstheme="minorHAnsi"/>
          <w:sz w:val="22"/>
          <w:szCs w:val="22"/>
        </w:rPr>
        <w:t xml:space="preserve">helping colleges provide equitable opportunities across all student populations is essential to achieving </w:t>
      </w:r>
      <w:r w:rsidR="00932A00">
        <w:rPr>
          <w:rFonts w:ascii="Avenir Next" w:hAnsi="Avenir Next" w:cstheme="minorHAnsi"/>
          <w:sz w:val="22"/>
          <w:szCs w:val="22"/>
        </w:rPr>
        <w:t xml:space="preserve">the </w:t>
      </w:r>
      <w:r w:rsidR="000F778D">
        <w:rPr>
          <w:rFonts w:ascii="Avenir Next" w:hAnsi="Avenir Next" w:cstheme="minorHAnsi"/>
          <w:sz w:val="22"/>
          <w:szCs w:val="22"/>
        </w:rPr>
        <w:t>state</w:t>
      </w:r>
      <w:r w:rsidR="00932A00">
        <w:rPr>
          <w:rFonts w:ascii="Avenir Next" w:hAnsi="Avenir Next" w:cstheme="minorHAnsi"/>
          <w:sz w:val="22"/>
          <w:szCs w:val="22"/>
        </w:rPr>
        <w:t>’s</w:t>
      </w:r>
      <w:r w:rsidR="000F778D">
        <w:rPr>
          <w:rFonts w:ascii="Avenir Next" w:hAnsi="Avenir Next" w:cstheme="minorHAnsi"/>
          <w:sz w:val="22"/>
          <w:szCs w:val="22"/>
        </w:rPr>
        <w:t xml:space="preserve"> higher education goals.</w:t>
      </w:r>
      <w:r w:rsidR="00932A00">
        <w:rPr>
          <w:rFonts w:ascii="Avenir Next" w:hAnsi="Avenir Next" w:cstheme="minorHAnsi"/>
          <w:sz w:val="22"/>
          <w:szCs w:val="22"/>
        </w:rPr>
        <w:t xml:space="preserve"> </w:t>
      </w:r>
      <w:r>
        <w:rPr>
          <w:rFonts w:ascii="Avenir Next" w:hAnsi="Avenir Next" w:cstheme="minorHAnsi"/>
          <w:sz w:val="22"/>
          <w:szCs w:val="22"/>
        </w:rPr>
        <w:t>This model should</w:t>
      </w:r>
      <w:r w:rsidR="00E835DF">
        <w:rPr>
          <w:rFonts w:ascii="Avenir Next" w:hAnsi="Avenir Next" w:cstheme="minorHAnsi"/>
          <w:sz w:val="22"/>
          <w:szCs w:val="22"/>
        </w:rPr>
        <w:t xml:space="preserve"> </w:t>
      </w:r>
      <w:r w:rsidR="002770C1" w:rsidRPr="00996DDA">
        <w:rPr>
          <w:rFonts w:ascii="Avenir Next" w:hAnsi="Avenir Next" w:cstheme="minorHAnsi"/>
          <w:sz w:val="22"/>
          <w:szCs w:val="22"/>
        </w:rPr>
        <w:t xml:space="preserve">fully support </w:t>
      </w:r>
      <w:r w:rsidR="003A2A2C" w:rsidRPr="00996DDA">
        <w:rPr>
          <w:rFonts w:ascii="Avenir Next" w:hAnsi="Avenir Next" w:cstheme="minorHAnsi"/>
          <w:sz w:val="22"/>
          <w:szCs w:val="22"/>
        </w:rPr>
        <w:t xml:space="preserve">Texas </w:t>
      </w:r>
      <w:r w:rsidR="00F02CAE">
        <w:rPr>
          <w:rFonts w:ascii="Avenir Next" w:hAnsi="Avenir Next" w:cstheme="minorHAnsi"/>
          <w:sz w:val="22"/>
          <w:szCs w:val="22"/>
        </w:rPr>
        <w:t>in its pursuit of</w:t>
      </w:r>
      <w:r w:rsidR="003A2A2C" w:rsidRPr="00996DDA">
        <w:rPr>
          <w:rFonts w:ascii="Avenir Next" w:hAnsi="Avenir Next" w:cstheme="minorHAnsi"/>
          <w:sz w:val="22"/>
          <w:szCs w:val="22"/>
        </w:rPr>
        <w:t xml:space="preserve"> excel</w:t>
      </w:r>
      <w:r w:rsidR="00F02CAE">
        <w:rPr>
          <w:rFonts w:ascii="Avenir Next" w:hAnsi="Avenir Next" w:cstheme="minorHAnsi"/>
          <w:sz w:val="22"/>
          <w:szCs w:val="22"/>
        </w:rPr>
        <w:t>lence</w:t>
      </w:r>
      <w:r w:rsidR="003A2A2C" w:rsidRPr="00996DDA">
        <w:rPr>
          <w:rFonts w:ascii="Avenir Next" w:hAnsi="Avenir Next" w:cstheme="minorHAnsi"/>
          <w:sz w:val="22"/>
          <w:szCs w:val="22"/>
        </w:rPr>
        <w:t xml:space="preserve"> in the global competition</w:t>
      </w:r>
      <w:r w:rsidR="002770C1" w:rsidRPr="00996DDA">
        <w:rPr>
          <w:rFonts w:ascii="Avenir Next" w:hAnsi="Avenir Next" w:cstheme="minorHAnsi"/>
          <w:sz w:val="22"/>
          <w:szCs w:val="22"/>
        </w:rPr>
        <w:t xml:space="preserve"> for jobs</w:t>
      </w:r>
      <w:r w:rsidR="00426D7A" w:rsidRPr="00996DDA">
        <w:rPr>
          <w:rFonts w:ascii="Avenir Next" w:hAnsi="Avenir Next" w:cstheme="minorHAnsi"/>
          <w:sz w:val="22"/>
          <w:szCs w:val="22"/>
        </w:rPr>
        <w:t xml:space="preserve"> </w:t>
      </w:r>
      <w:r w:rsidR="00E835DF">
        <w:rPr>
          <w:rFonts w:ascii="Avenir Next" w:hAnsi="Avenir Next" w:cstheme="minorHAnsi"/>
          <w:sz w:val="22"/>
          <w:szCs w:val="22"/>
        </w:rPr>
        <w:t xml:space="preserve">and in </w:t>
      </w:r>
      <w:r w:rsidR="00CD1A22">
        <w:rPr>
          <w:rFonts w:ascii="Avenir Next" w:hAnsi="Avenir Next" w:cstheme="minorHAnsi"/>
          <w:sz w:val="22"/>
          <w:szCs w:val="22"/>
        </w:rPr>
        <w:t>becom</w:t>
      </w:r>
      <w:r w:rsidR="00F02CAE">
        <w:rPr>
          <w:rFonts w:ascii="Avenir Next" w:hAnsi="Avenir Next" w:cstheme="minorHAnsi"/>
          <w:sz w:val="22"/>
          <w:szCs w:val="22"/>
        </w:rPr>
        <w:t>ing</w:t>
      </w:r>
      <w:r w:rsidR="00C745F5" w:rsidRPr="00996DDA">
        <w:rPr>
          <w:rFonts w:ascii="Avenir Next" w:hAnsi="Avenir Next" w:cstheme="minorHAnsi"/>
          <w:sz w:val="22"/>
          <w:szCs w:val="22"/>
        </w:rPr>
        <w:t xml:space="preserve"> </w:t>
      </w:r>
      <w:r w:rsidR="00CD1A22">
        <w:rPr>
          <w:rFonts w:ascii="Avenir Next" w:hAnsi="Avenir Next" w:cstheme="minorHAnsi"/>
          <w:sz w:val="22"/>
          <w:szCs w:val="22"/>
        </w:rPr>
        <w:t>the premiere</w:t>
      </w:r>
      <w:r w:rsidR="00C745F5" w:rsidRPr="00996DDA">
        <w:rPr>
          <w:rFonts w:ascii="Avenir Next" w:hAnsi="Avenir Next" w:cstheme="minorHAnsi"/>
          <w:sz w:val="22"/>
          <w:szCs w:val="22"/>
        </w:rPr>
        <w:t xml:space="preserve"> leader </w:t>
      </w:r>
      <w:r w:rsidR="00316985">
        <w:rPr>
          <w:rFonts w:ascii="Avenir Next" w:hAnsi="Avenir Next" w:cstheme="minorHAnsi"/>
          <w:sz w:val="22"/>
          <w:szCs w:val="22"/>
        </w:rPr>
        <w:t>nationally</w:t>
      </w:r>
      <w:r w:rsidR="009C2404" w:rsidRPr="00996DDA">
        <w:rPr>
          <w:rFonts w:ascii="Avenir Next" w:hAnsi="Avenir Next" w:cstheme="minorHAnsi"/>
          <w:sz w:val="22"/>
          <w:szCs w:val="22"/>
        </w:rPr>
        <w:t xml:space="preserve"> </w:t>
      </w:r>
      <w:r w:rsidR="00316985">
        <w:rPr>
          <w:rFonts w:ascii="Avenir Next" w:hAnsi="Avenir Next" w:cstheme="minorHAnsi"/>
          <w:sz w:val="22"/>
          <w:szCs w:val="22"/>
        </w:rPr>
        <w:t>in addressing</w:t>
      </w:r>
      <w:r w:rsidR="00C745F5" w:rsidRPr="00996DDA">
        <w:rPr>
          <w:rFonts w:ascii="Avenir Next" w:hAnsi="Avenir Next" w:cstheme="minorHAnsi"/>
          <w:sz w:val="22"/>
          <w:szCs w:val="22"/>
        </w:rPr>
        <w:t xml:space="preserve"> </w:t>
      </w:r>
      <w:r w:rsidR="002770C1" w:rsidRPr="00996DDA">
        <w:rPr>
          <w:rFonts w:ascii="Avenir Next" w:hAnsi="Avenir Next" w:cstheme="minorHAnsi"/>
          <w:sz w:val="22"/>
          <w:szCs w:val="22"/>
        </w:rPr>
        <w:t>the changing</w:t>
      </w:r>
      <w:r w:rsidR="00C745F5" w:rsidRPr="00996DDA">
        <w:rPr>
          <w:rFonts w:ascii="Avenir Next" w:hAnsi="Avenir Next" w:cstheme="minorHAnsi"/>
          <w:sz w:val="22"/>
          <w:szCs w:val="22"/>
        </w:rPr>
        <w:t xml:space="preserve"> needs </w:t>
      </w:r>
      <w:r w:rsidR="002770C1" w:rsidRPr="00996DDA">
        <w:rPr>
          <w:rFonts w:ascii="Avenir Next" w:hAnsi="Avenir Next" w:cstheme="minorHAnsi"/>
          <w:sz w:val="22"/>
          <w:szCs w:val="22"/>
        </w:rPr>
        <w:t>of the</w:t>
      </w:r>
      <w:r w:rsidR="00C745F5" w:rsidRPr="00996DDA">
        <w:rPr>
          <w:rFonts w:ascii="Avenir Next" w:hAnsi="Avenir Next" w:cstheme="minorHAnsi"/>
          <w:sz w:val="22"/>
          <w:szCs w:val="22"/>
        </w:rPr>
        <w:t xml:space="preserve"> workforce. </w:t>
      </w:r>
      <w:r w:rsidR="00E835DF">
        <w:rPr>
          <w:rFonts w:ascii="Avenir Next" w:hAnsi="Avenir Next" w:cstheme="minorHAnsi"/>
          <w:sz w:val="22"/>
          <w:szCs w:val="22"/>
        </w:rPr>
        <w:t>Finally</w:t>
      </w:r>
      <w:r w:rsidR="00F452AA">
        <w:rPr>
          <w:rFonts w:ascii="Avenir Next" w:hAnsi="Avenir Next" w:cstheme="minorHAnsi"/>
          <w:sz w:val="22"/>
          <w:szCs w:val="22"/>
        </w:rPr>
        <w:t>,</w:t>
      </w:r>
      <w:r w:rsidR="00426D7A" w:rsidRPr="00996DDA">
        <w:rPr>
          <w:rFonts w:ascii="Avenir Next" w:hAnsi="Avenir Next" w:cstheme="minorHAnsi"/>
          <w:sz w:val="22"/>
          <w:szCs w:val="22"/>
        </w:rPr>
        <w:t xml:space="preserve"> </w:t>
      </w:r>
      <w:r w:rsidR="00CC2049">
        <w:rPr>
          <w:rFonts w:ascii="Avenir Next" w:hAnsi="Avenir Next" w:cstheme="minorHAnsi"/>
          <w:sz w:val="22"/>
          <w:szCs w:val="22"/>
        </w:rPr>
        <w:t>the new model</w:t>
      </w:r>
      <w:r w:rsidR="00CC2049" w:rsidRPr="00996DDA">
        <w:rPr>
          <w:rFonts w:ascii="Avenir Next" w:hAnsi="Avenir Next" w:cstheme="minorHAnsi"/>
          <w:sz w:val="22"/>
          <w:szCs w:val="22"/>
        </w:rPr>
        <w:t xml:space="preserve"> </w:t>
      </w:r>
      <w:r>
        <w:rPr>
          <w:rFonts w:ascii="Avenir Next" w:hAnsi="Avenir Next" w:cstheme="minorHAnsi"/>
          <w:sz w:val="22"/>
          <w:szCs w:val="22"/>
        </w:rPr>
        <w:t xml:space="preserve">must </w:t>
      </w:r>
      <w:r w:rsidR="00CC2049">
        <w:rPr>
          <w:rFonts w:ascii="Avenir Next" w:hAnsi="Avenir Next" w:cstheme="minorHAnsi"/>
          <w:sz w:val="22"/>
          <w:szCs w:val="22"/>
        </w:rPr>
        <w:t>encourage</w:t>
      </w:r>
      <w:r w:rsidR="00CC2049" w:rsidRPr="00996DDA">
        <w:rPr>
          <w:rFonts w:ascii="Avenir Next" w:hAnsi="Avenir Next" w:cstheme="minorHAnsi"/>
          <w:sz w:val="22"/>
          <w:szCs w:val="22"/>
        </w:rPr>
        <w:t xml:space="preserve"> </w:t>
      </w:r>
      <w:r w:rsidR="00426D7A" w:rsidRPr="00996DDA">
        <w:rPr>
          <w:rFonts w:ascii="Avenir Next" w:hAnsi="Avenir Next" w:cstheme="minorHAnsi"/>
          <w:sz w:val="22"/>
          <w:szCs w:val="22"/>
        </w:rPr>
        <w:t xml:space="preserve">partnerships </w:t>
      </w:r>
      <w:r w:rsidR="00CC2049">
        <w:rPr>
          <w:rFonts w:ascii="Avenir Next" w:hAnsi="Avenir Next" w:cstheme="minorHAnsi"/>
          <w:sz w:val="22"/>
          <w:szCs w:val="22"/>
        </w:rPr>
        <w:t>and</w:t>
      </w:r>
      <w:r w:rsidR="00CC2049" w:rsidRPr="00996DDA">
        <w:rPr>
          <w:rFonts w:ascii="Avenir Next" w:hAnsi="Avenir Next" w:cstheme="minorHAnsi"/>
          <w:sz w:val="22"/>
          <w:szCs w:val="22"/>
        </w:rPr>
        <w:t xml:space="preserve"> </w:t>
      </w:r>
      <w:r w:rsidR="00426D7A" w:rsidRPr="00996DDA">
        <w:rPr>
          <w:rFonts w:ascii="Avenir Next" w:hAnsi="Avenir Next" w:cstheme="minorHAnsi"/>
          <w:sz w:val="22"/>
          <w:szCs w:val="22"/>
        </w:rPr>
        <w:t xml:space="preserve">shared services among </w:t>
      </w:r>
      <w:r w:rsidR="009223A7">
        <w:rPr>
          <w:rFonts w:ascii="Avenir Next" w:hAnsi="Avenir Next" w:cstheme="minorHAnsi"/>
          <w:sz w:val="22"/>
          <w:szCs w:val="22"/>
        </w:rPr>
        <w:t>colleges</w:t>
      </w:r>
      <w:r w:rsidR="00426D7A" w:rsidRPr="00996DDA">
        <w:rPr>
          <w:rFonts w:ascii="Avenir Next" w:hAnsi="Avenir Next" w:cstheme="minorHAnsi"/>
          <w:sz w:val="22"/>
          <w:szCs w:val="22"/>
        </w:rPr>
        <w:t xml:space="preserve"> </w:t>
      </w:r>
      <w:r w:rsidR="009C2404">
        <w:rPr>
          <w:rFonts w:ascii="Avenir Next" w:hAnsi="Avenir Next" w:cstheme="minorHAnsi"/>
          <w:sz w:val="22"/>
          <w:szCs w:val="22"/>
        </w:rPr>
        <w:t>to</w:t>
      </w:r>
      <w:r w:rsidR="009C2404" w:rsidRPr="00996DDA">
        <w:rPr>
          <w:rFonts w:ascii="Avenir Next" w:hAnsi="Avenir Next" w:cstheme="minorHAnsi"/>
          <w:sz w:val="22"/>
          <w:szCs w:val="22"/>
        </w:rPr>
        <w:t xml:space="preserve"> </w:t>
      </w:r>
      <w:r w:rsidR="00426D7A" w:rsidRPr="00996DDA">
        <w:rPr>
          <w:rFonts w:ascii="Avenir Next" w:hAnsi="Avenir Next" w:cstheme="minorHAnsi"/>
          <w:sz w:val="22"/>
          <w:szCs w:val="22"/>
        </w:rPr>
        <w:t xml:space="preserve">help </w:t>
      </w:r>
      <w:r w:rsidR="002E044C" w:rsidRPr="00996DDA">
        <w:rPr>
          <w:rFonts w:ascii="Avenir Next" w:hAnsi="Avenir Next" w:cstheme="minorHAnsi"/>
          <w:sz w:val="22"/>
          <w:szCs w:val="22"/>
        </w:rPr>
        <w:t>more</w:t>
      </w:r>
      <w:r w:rsidR="00426D7A" w:rsidRPr="00996DDA">
        <w:rPr>
          <w:rFonts w:ascii="Avenir Next" w:hAnsi="Avenir Next" w:cstheme="minorHAnsi"/>
          <w:sz w:val="22"/>
          <w:szCs w:val="22"/>
        </w:rPr>
        <w:t xml:space="preserve"> students </w:t>
      </w:r>
      <w:r w:rsidR="00F02CAE">
        <w:rPr>
          <w:rFonts w:ascii="Avenir Next" w:hAnsi="Avenir Next" w:cstheme="minorHAnsi"/>
          <w:sz w:val="22"/>
          <w:szCs w:val="22"/>
        </w:rPr>
        <w:t>afford college</w:t>
      </w:r>
      <w:r>
        <w:rPr>
          <w:rFonts w:ascii="Avenir Next" w:hAnsi="Avenir Next" w:cstheme="minorHAnsi"/>
          <w:sz w:val="22"/>
          <w:szCs w:val="22"/>
        </w:rPr>
        <w:t xml:space="preserve">, </w:t>
      </w:r>
      <w:r w:rsidR="00554061" w:rsidRPr="00996DDA">
        <w:rPr>
          <w:rFonts w:ascii="Avenir Next" w:hAnsi="Avenir Next" w:cstheme="minorHAnsi"/>
          <w:sz w:val="22"/>
          <w:szCs w:val="22"/>
        </w:rPr>
        <w:t>complete</w:t>
      </w:r>
      <w:r w:rsidR="00426D7A" w:rsidRPr="00996DDA">
        <w:rPr>
          <w:rFonts w:ascii="Avenir Next" w:hAnsi="Avenir Next" w:cstheme="minorHAnsi"/>
          <w:sz w:val="22"/>
          <w:szCs w:val="22"/>
        </w:rPr>
        <w:t xml:space="preserve"> credentials of value</w:t>
      </w:r>
      <w:r>
        <w:rPr>
          <w:rFonts w:ascii="Avenir Next" w:hAnsi="Avenir Next" w:cstheme="minorHAnsi"/>
          <w:sz w:val="22"/>
          <w:szCs w:val="22"/>
        </w:rPr>
        <w:t>,</w:t>
      </w:r>
      <w:r w:rsidR="00AD5535" w:rsidRPr="00996DDA">
        <w:rPr>
          <w:rFonts w:ascii="Avenir Next" w:hAnsi="Avenir Next" w:cstheme="minorHAnsi"/>
          <w:sz w:val="22"/>
          <w:szCs w:val="22"/>
        </w:rPr>
        <w:t xml:space="preserve"> </w:t>
      </w:r>
      <w:r w:rsidR="00CC2049">
        <w:rPr>
          <w:rFonts w:ascii="Avenir Next" w:hAnsi="Avenir Next" w:cstheme="minorHAnsi"/>
          <w:sz w:val="22"/>
          <w:szCs w:val="22"/>
        </w:rPr>
        <w:t>and</w:t>
      </w:r>
      <w:r w:rsidR="00CC2049" w:rsidRPr="00996DDA">
        <w:rPr>
          <w:rFonts w:ascii="Avenir Next" w:hAnsi="Avenir Next" w:cstheme="minorHAnsi"/>
          <w:sz w:val="22"/>
          <w:szCs w:val="22"/>
        </w:rPr>
        <w:t xml:space="preserve"> </w:t>
      </w:r>
      <w:r w:rsidR="00AD5535" w:rsidRPr="00996DDA">
        <w:rPr>
          <w:rFonts w:ascii="Avenir Next" w:hAnsi="Avenir Next" w:cstheme="minorHAnsi"/>
          <w:sz w:val="22"/>
          <w:szCs w:val="22"/>
        </w:rPr>
        <w:t>transfer to four-year institutions</w:t>
      </w:r>
      <w:r w:rsidR="00426D7A" w:rsidRPr="00996DDA">
        <w:rPr>
          <w:rFonts w:ascii="Avenir Next" w:hAnsi="Avenir Next" w:cstheme="minorHAnsi"/>
          <w:sz w:val="22"/>
          <w:szCs w:val="22"/>
        </w:rPr>
        <w:t>.</w:t>
      </w:r>
    </w:p>
    <w:p w14:paraId="26967EC0" w14:textId="3931664E" w:rsidR="00E835DF" w:rsidRDefault="00E835DF" w:rsidP="00825E8F">
      <w:pPr>
        <w:rPr>
          <w:rFonts w:ascii="Avenir Next" w:hAnsi="Avenir Next" w:cstheme="minorHAnsi"/>
          <w:sz w:val="22"/>
          <w:szCs w:val="22"/>
        </w:rPr>
      </w:pPr>
    </w:p>
    <w:p w14:paraId="372E975A" w14:textId="0AD0F0EA" w:rsidR="00E835DF" w:rsidRDefault="00E835DF" w:rsidP="00825E8F">
      <w:pPr>
        <w:rPr>
          <w:rFonts w:ascii="Avenir Next" w:hAnsi="Avenir Next" w:cstheme="minorHAnsi"/>
          <w:sz w:val="22"/>
          <w:szCs w:val="22"/>
        </w:rPr>
      </w:pPr>
      <w:r>
        <w:rPr>
          <w:rFonts w:ascii="Avenir Next" w:hAnsi="Avenir Next" w:cstheme="minorHAnsi"/>
          <w:sz w:val="22"/>
          <w:szCs w:val="22"/>
        </w:rPr>
        <w:t xml:space="preserve">This can be done in </w:t>
      </w:r>
      <w:r w:rsidR="00316985">
        <w:rPr>
          <w:rFonts w:ascii="Avenir Next" w:hAnsi="Avenir Next" w:cstheme="minorHAnsi"/>
          <w:sz w:val="22"/>
          <w:szCs w:val="22"/>
        </w:rPr>
        <w:t>multiple</w:t>
      </w:r>
      <w:r>
        <w:rPr>
          <w:rFonts w:ascii="Avenir Next" w:hAnsi="Avenir Next" w:cstheme="minorHAnsi"/>
          <w:sz w:val="22"/>
          <w:szCs w:val="22"/>
        </w:rPr>
        <w:t xml:space="preserve"> ways.</w:t>
      </w:r>
    </w:p>
    <w:p w14:paraId="7BCC87AE" w14:textId="4F890C8A" w:rsidR="00A359F5" w:rsidRDefault="00A359F5" w:rsidP="00825E8F">
      <w:pPr>
        <w:rPr>
          <w:rFonts w:ascii="Avenir Next" w:hAnsi="Avenir Next" w:cstheme="minorHAnsi"/>
          <w:sz w:val="22"/>
          <w:szCs w:val="22"/>
        </w:rPr>
      </w:pPr>
    </w:p>
    <w:p w14:paraId="223D554E" w14:textId="6AF77367" w:rsidR="00E40C19" w:rsidRPr="00996DDA" w:rsidRDefault="00160944" w:rsidP="00EB52C5">
      <w:pPr>
        <w:pStyle w:val="Heading1"/>
        <w:rPr>
          <w:rFonts w:ascii="Avenir Next" w:hAnsi="Avenir Next"/>
          <w:b/>
          <w:bCs/>
          <w:sz w:val="22"/>
          <w:szCs w:val="22"/>
        </w:rPr>
      </w:pPr>
      <w:bookmarkStart w:id="7" w:name="_State_Funding_for"/>
      <w:bookmarkEnd w:id="7"/>
      <w:r w:rsidRPr="00996DDA">
        <w:rPr>
          <w:rFonts w:ascii="Avenir Next" w:eastAsia="Avenir Next LT Pro" w:hAnsi="Avenir Next"/>
          <w:b/>
          <w:bCs/>
          <w:sz w:val="22"/>
          <w:szCs w:val="22"/>
        </w:rPr>
        <w:t>State Funding for Outcomes</w:t>
      </w:r>
    </w:p>
    <w:p w14:paraId="1D132440" w14:textId="77777777" w:rsidR="00E40C19" w:rsidRPr="00996DDA" w:rsidRDefault="00E40C19" w:rsidP="00EB52C5">
      <w:pPr>
        <w:rPr>
          <w:rFonts w:ascii="Avenir Next" w:hAnsi="Avenir Next" w:cstheme="minorHAnsi"/>
          <w:sz w:val="22"/>
          <w:szCs w:val="22"/>
        </w:rPr>
      </w:pPr>
    </w:p>
    <w:p w14:paraId="511A7ABF" w14:textId="4BF95927" w:rsidR="00AD5535" w:rsidRPr="00996DDA" w:rsidRDefault="00160944" w:rsidP="00EB52C5">
      <w:pPr>
        <w:rPr>
          <w:rFonts w:ascii="Avenir Next" w:eastAsia="Avenir Next LT Pro" w:hAnsi="Avenir Next" w:cstheme="minorHAnsi"/>
          <w:color w:val="000000" w:themeColor="text1"/>
          <w:sz w:val="22"/>
          <w:szCs w:val="22"/>
        </w:rPr>
      </w:pPr>
      <w:r w:rsidRPr="00996DDA">
        <w:rPr>
          <w:rFonts w:ascii="Avenir Next" w:hAnsi="Avenir Next" w:cstheme="minorHAnsi"/>
          <w:sz w:val="22"/>
          <w:szCs w:val="22"/>
        </w:rPr>
        <w:t xml:space="preserve">The </w:t>
      </w:r>
      <w:r w:rsidR="00E835DF">
        <w:rPr>
          <w:rFonts w:ascii="Avenir Next" w:hAnsi="Avenir Next" w:cstheme="minorHAnsi"/>
          <w:sz w:val="22"/>
          <w:szCs w:val="22"/>
        </w:rPr>
        <w:t>new</w:t>
      </w:r>
      <w:r w:rsidR="00E835DF" w:rsidRPr="00996DDA">
        <w:rPr>
          <w:rFonts w:ascii="Avenir Next" w:hAnsi="Avenir Next" w:cstheme="minorHAnsi"/>
          <w:sz w:val="22"/>
          <w:szCs w:val="22"/>
        </w:rPr>
        <w:t xml:space="preserve"> </w:t>
      </w:r>
      <w:r w:rsidR="00982F80">
        <w:rPr>
          <w:rFonts w:ascii="Avenir Next" w:hAnsi="Avenir Next" w:cstheme="minorHAnsi"/>
          <w:sz w:val="22"/>
          <w:szCs w:val="22"/>
        </w:rPr>
        <w:t xml:space="preserve">funding </w:t>
      </w:r>
      <w:r w:rsidRPr="00996DDA">
        <w:rPr>
          <w:rFonts w:ascii="Avenir Next" w:hAnsi="Avenir Next" w:cstheme="minorHAnsi"/>
          <w:sz w:val="22"/>
          <w:szCs w:val="22"/>
        </w:rPr>
        <w:t>model</w:t>
      </w:r>
      <w:r w:rsidR="001E18F2" w:rsidRPr="00996DDA">
        <w:rPr>
          <w:rFonts w:ascii="Avenir Next" w:hAnsi="Avenir Next" w:cstheme="minorHAnsi"/>
          <w:sz w:val="22"/>
          <w:szCs w:val="22"/>
        </w:rPr>
        <w:t xml:space="preserve"> </w:t>
      </w:r>
      <w:r w:rsidR="00E835DF">
        <w:rPr>
          <w:rFonts w:ascii="Avenir Next" w:hAnsi="Avenir Next" w:cstheme="minorHAnsi"/>
          <w:sz w:val="22"/>
          <w:szCs w:val="22"/>
        </w:rPr>
        <w:t>should</w:t>
      </w:r>
      <w:r w:rsidR="00CA0AA2" w:rsidRPr="00996DDA">
        <w:rPr>
          <w:rFonts w:ascii="Avenir Next" w:hAnsi="Avenir Next" w:cstheme="minorHAnsi"/>
          <w:sz w:val="22"/>
          <w:szCs w:val="22"/>
        </w:rPr>
        <w:t xml:space="preserve"> </w:t>
      </w:r>
      <w:r w:rsidR="00211F04" w:rsidRPr="00996DDA">
        <w:rPr>
          <w:rFonts w:ascii="Avenir Next" w:hAnsi="Avenir Next" w:cstheme="minorHAnsi"/>
          <w:sz w:val="22"/>
          <w:szCs w:val="22"/>
        </w:rPr>
        <w:t xml:space="preserve">recognize </w:t>
      </w:r>
      <w:r w:rsidR="00E835DF">
        <w:rPr>
          <w:rFonts w:ascii="Avenir Next" w:hAnsi="Avenir Next" w:cstheme="minorHAnsi"/>
          <w:sz w:val="22"/>
          <w:szCs w:val="22"/>
        </w:rPr>
        <w:t>and</w:t>
      </w:r>
      <w:r w:rsidR="00E835DF" w:rsidRPr="00996DDA">
        <w:rPr>
          <w:rFonts w:ascii="Avenir Next" w:hAnsi="Avenir Next" w:cstheme="minorHAnsi"/>
          <w:sz w:val="22"/>
          <w:szCs w:val="22"/>
        </w:rPr>
        <w:t xml:space="preserve"> </w:t>
      </w:r>
      <w:r w:rsidR="002E044C" w:rsidRPr="00996DDA">
        <w:rPr>
          <w:rFonts w:ascii="Avenir Next" w:hAnsi="Avenir Next" w:cstheme="minorHAnsi"/>
          <w:sz w:val="22"/>
          <w:szCs w:val="22"/>
        </w:rPr>
        <w:t xml:space="preserve">reward </w:t>
      </w:r>
      <w:r w:rsidR="009E4716" w:rsidRPr="00996DDA">
        <w:rPr>
          <w:rFonts w:ascii="Avenir Next" w:hAnsi="Avenir Next" w:cstheme="minorHAnsi"/>
          <w:sz w:val="22"/>
          <w:szCs w:val="22"/>
        </w:rPr>
        <w:t xml:space="preserve">community </w:t>
      </w:r>
      <w:r w:rsidR="003E139D">
        <w:rPr>
          <w:rFonts w:ascii="Avenir Next" w:hAnsi="Avenir Next" w:cstheme="minorHAnsi"/>
          <w:sz w:val="22"/>
          <w:szCs w:val="22"/>
        </w:rPr>
        <w:t xml:space="preserve">colleges’ vital role </w:t>
      </w:r>
      <w:r w:rsidR="00C012F4">
        <w:rPr>
          <w:rFonts w:ascii="Avenir Next" w:hAnsi="Avenir Next" w:cstheme="minorHAnsi"/>
          <w:sz w:val="22"/>
          <w:szCs w:val="22"/>
        </w:rPr>
        <w:t xml:space="preserve">in </w:t>
      </w:r>
      <w:r w:rsidR="009F158D">
        <w:rPr>
          <w:rFonts w:ascii="Avenir Next" w:hAnsi="Avenir Next"/>
          <w:sz w:val="22"/>
          <w:szCs w:val="22"/>
        </w:rPr>
        <w:t>awarding associate degrees, certificates, and other credentials</w:t>
      </w:r>
      <w:r w:rsidR="00CC2049">
        <w:rPr>
          <w:rFonts w:ascii="Avenir Next" w:hAnsi="Avenir Next"/>
          <w:sz w:val="22"/>
          <w:szCs w:val="22"/>
        </w:rPr>
        <w:t xml:space="preserve"> of value</w:t>
      </w:r>
      <w:r w:rsidR="009F158D">
        <w:rPr>
          <w:rFonts w:ascii="Avenir Next" w:hAnsi="Avenir Next"/>
          <w:sz w:val="22"/>
          <w:szCs w:val="22"/>
        </w:rPr>
        <w:t xml:space="preserve"> that will be required in more than 60 percent of all the jobs in Texas over the next decade</w:t>
      </w:r>
      <w:r w:rsidR="005D2BF5" w:rsidRPr="00996DDA">
        <w:rPr>
          <w:rFonts w:ascii="Avenir Next" w:hAnsi="Avenir Next" w:cstheme="minorHAnsi"/>
          <w:sz w:val="22"/>
          <w:szCs w:val="22"/>
        </w:rPr>
        <w:t>.</w:t>
      </w:r>
    </w:p>
    <w:p w14:paraId="2267786B" w14:textId="77777777" w:rsidR="00AD5535" w:rsidRPr="00996DDA" w:rsidRDefault="00AD5535" w:rsidP="00EB52C5">
      <w:pPr>
        <w:rPr>
          <w:rFonts w:ascii="Avenir Next" w:eastAsia="Avenir Next LT Pro" w:hAnsi="Avenir Next" w:cstheme="minorHAnsi"/>
          <w:color w:val="000000" w:themeColor="text1"/>
          <w:sz w:val="22"/>
          <w:szCs w:val="22"/>
        </w:rPr>
      </w:pPr>
    </w:p>
    <w:p w14:paraId="49C5E575" w14:textId="10A5F971" w:rsidR="00211F04" w:rsidRPr="00996DDA" w:rsidRDefault="00982F80" w:rsidP="00EB52C5">
      <w:pPr>
        <w:rPr>
          <w:rFonts w:ascii="Avenir Next" w:hAnsi="Avenir Next" w:cstheme="minorHAnsi"/>
          <w:sz w:val="22"/>
          <w:szCs w:val="22"/>
        </w:rPr>
      </w:pPr>
      <w:r>
        <w:rPr>
          <w:rFonts w:ascii="Avenir Next" w:eastAsia="Avenir Next LT Pro" w:hAnsi="Avenir Next" w:cstheme="minorHAnsi"/>
          <w:color w:val="000000" w:themeColor="text1"/>
          <w:sz w:val="22"/>
          <w:szCs w:val="22"/>
        </w:rPr>
        <w:t xml:space="preserve">In particular, </w:t>
      </w:r>
      <w:r w:rsidR="00CC2049">
        <w:rPr>
          <w:rFonts w:ascii="Avenir Next" w:eastAsia="Avenir Next LT Pro" w:hAnsi="Avenir Next" w:cstheme="minorHAnsi"/>
          <w:color w:val="000000" w:themeColor="text1"/>
          <w:sz w:val="22"/>
          <w:szCs w:val="22"/>
        </w:rPr>
        <w:t>the new model</w:t>
      </w:r>
      <w:r w:rsidR="00E835DF">
        <w:rPr>
          <w:rFonts w:ascii="Avenir Next" w:eastAsia="Avenir Next LT Pro" w:hAnsi="Avenir Next" w:cstheme="minorHAnsi"/>
          <w:color w:val="000000" w:themeColor="text1"/>
          <w:sz w:val="22"/>
          <w:szCs w:val="22"/>
        </w:rPr>
        <w:t xml:space="preserve"> should</w:t>
      </w:r>
      <w:r w:rsidR="00160944" w:rsidRPr="00996DDA">
        <w:rPr>
          <w:rFonts w:ascii="Avenir Next" w:eastAsia="Avenir Next LT Pro" w:hAnsi="Avenir Next" w:cstheme="minorHAnsi"/>
          <w:color w:val="000000" w:themeColor="text1"/>
          <w:sz w:val="22"/>
          <w:szCs w:val="22"/>
        </w:rPr>
        <w:t xml:space="preserve"> </w:t>
      </w:r>
      <w:r w:rsidR="008047C1">
        <w:rPr>
          <w:rFonts w:ascii="Avenir Next" w:eastAsia="Avenir Next LT Pro" w:hAnsi="Avenir Next" w:cstheme="minorHAnsi"/>
          <w:color w:val="000000" w:themeColor="text1"/>
          <w:sz w:val="22"/>
          <w:szCs w:val="22"/>
        </w:rPr>
        <w:t xml:space="preserve">fully </w:t>
      </w:r>
      <w:r w:rsidR="00160944" w:rsidRPr="00996DDA">
        <w:rPr>
          <w:rFonts w:ascii="Avenir Next" w:eastAsia="Avenir Next LT Pro" w:hAnsi="Avenir Next" w:cstheme="minorHAnsi"/>
          <w:color w:val="000000" w:themeColor="text1"/>
          <w:sz w:val="22"/>
          <w:szCs w:val="22"/>
        </w:rPr>
        <w:t xml:space="preserve">recognize non-credit </w:t>
      </w:r>
      <w:r>
        <w:rPr>
          <w:rFonts w:ascii="Avenir Next" w:eastAsia="Avenir Next LT Pro" w:hAnsi="Avenir Next" w:cstheme="minorHAnsi"/>
          <w:color w:val="000000" w:themeColor="text1"/>
          <w:sz w:val="22"/>
          <w:szCs w:val="22"/>
        </w:rPr>
        <w:t xml:space="preserve">workforce education </w:t>
      </w:r>
      <w:r w:rsidR="00160944" w:rsidRPr="00996DDA">
        <w:rPr>
          <w:rFonts w:ascii="Avenir Next" w:eastAsia="Avenir Next LT Pro" w:hAnsi="Avenir Next" w:cstheme="minorHAnsi"/>
          <w:color w:val="000000" w:themeColor="text1"/>
          <w:sz w:val="22"/>
          <w:szCs w:val="22"/>
        </w:rPr>
        <w:t xml:space="preserve">programs that </w:t>
      </w:r>
      <w:r w:rsidR="00E40C19" w:rsidRPr="00996DDA">
        <w:rPr>
          <w:rFonts w:ascii="Avenir Next" w:eastAsia="Avenir Next LT Pro" w:hAnsi="Avenir Next" w:cstheme="minorHAnsi"/>
          <w:color w:val="000000" w:themeColor="text1"/>
          <w:sz w:val="22"/>
          <w:szCs w:val="22"/>
        </w:rPr>
        <w:t>have become</w:t>
      </w:r>
      <w:r w:rsidR="00160944" w:rsidRPr="00996DDA">
        <w:rPr>
          <w:rFonts w:ascii="Avenir Next" w:eastAsia="Avenir Next LT Pro" w:hAnsi="Avenir Next" w:cstheme="minorHAnsi"/>
          <w:color w:val="000000" w:themeColor="text1"/>
          <w:sz w:val="22"/>
          <w:szCs w:val="22"/>
        </w:rPr>
        <w:t xml:space="preserve"> increasingly important </w:t>
      </w:r>
      <w:r w:rsidR="002770C1" w:rsidRPr="00996DDA">
        <w:rPr>
          <w:rFonts w:ascii="Avenir Next" w:eastAsia="Avenir Next LT Pro" w:hAnsi="Avenir Next" w:cstheme="minorHAnsi"/>
          <w:color w:val="000000" w:themeColor="text1"/>
          <w:sz w:val="22"/>
          <w:szCs w:val="22"/>
        </w:rPr>
        <w:t>to meet</w:t>
      </w:r>
      <w:r w:rsidR="00160944" w:rsidRPr="00996DDA">
        <w:rPr>
          <w:rFonts w:ascii="Avenir Next" w:eastAsia="Avenir Next LT Pro" w:hAnsi="Avenir Next" w:cstheme="minorHAnsi"/>
          <w:color w:val="000000" w:themeColor="text1"/>
          <w:sz w:val="22"/>
          <w:szCs w:val="22"/>
        </w:rPr>
        <w:t xml:space="preserve"> workforce demand</w:t>
      </w:r>
      <w:r w:rsidR="00554061" w:rsidRPr="00996DDA">
        <w:rPr>
          <w:rFonts w:ascii="Avenir Next" w:eastAsia="Avenir Next LT Pro" w:hAnsi="Avenir Next" w:cstheme="minorHAnsi"/>
          <w:color w:val="000000" w:themeColor="text1"/>
          <w:sz w:val="22"/>
          <w:szCs w:val="22"/>
        </w:rPr>
        <w:t>s</w:t>
      </w:r>
      <w:r w:rsidR="002770C1" w:rsidRPr="00996DDA">
        <w:rPr>
          <w:rFonts w:ascii="Avenir Next" w:eastAsia="Avenir Next LT Pro" w:hAnsi="Avenir Next" w:cstheme="minorHAnsi"/>
          <w:color w:val="000000" w:themeColor="text1"/>
          <w:sz w:val="22"/>
          <w:szCs w:val="22"/>
        </w:rPr>
        <w:t xml:space="preserve"> and </w:t>
      </w:r>
      <w:r w:rsidR="00316985">
        <w:rPr>
          <w:rFonts w:ascii="Avenir Next" w:eastAsia="Avenir Next LT Pro" w:hAnsi="Avenir Next" w:cstheme="minorHAnsi"/>
          <w:color w:val="000000" w:themeColor="text1"/>
          <w:sz w:val="22"/>
          <w:szCs w:val="22"/>
        </w:rPr>
        <w:t xml:space="preserve">that </w:t>
      </w:r>
      <w:r w:rsidR="002770C1" w:rsidRPr="00996DDA">
        <w:rPr>
          <w:rFonts w:ascii="Avenir Next" w:eastAsia="Avenir Next LT Pro" w:hAnsi="Avenir Next" w:cstheme="minorHAnsi"/>
          <w:color w:val="000000" w:themeColor="text1"/>
          <w:sz w:val="22"/>
          <w:szCs w:val="22"/>
        </w:rPr>
        <w:t xml:space="preserve">are critical to </w:t>
      </w:r>
      <w:r w:rsidR="00EC21EE" w:rsidRPr="00996DDA">
        <w:rPr>
          <w:rFonts w:ascii="Avenir Next" w:eastAsia="Avenir Next LT Pro" w:hAnsi="Avenir Next" w:cstheme="minorHAnsi"/>
          <w:color w:val="000000" w:themeColor="text1"/>
          <w:sz w:val="22"/>
          <w:szCs w:val="22"/>
        </w:rPr>
        <w:t>mi</w:t>
      </w:r>
      <w:r w:rsidR="00C0403E" w:rsidRPr="00996DDA">
        <w:rPr>
          <w:rFonts w:ascii="Avenir Next" w:eastAsia="Avenir Next LT Pro" w:hAnsi="Avenir Next" w:cstheme="minorHAnsi"/>
          <w:color w:val="000000" w:themeColor="text1"/>
          <w:sz w:val="22"/>
          <w:szCs w:val="22"/>
        </w:rPr>
        <w:t>d</w:t>
      </w:r>
      <w:r w:rsidR="00EC21EE" w:rsidRPr="00996DDA">
        <w:rPr>
          <w:rFonts w:ascii="Avenir Next" w:eastAsia="Avenir Next LT Pro" w:hAnsi="Avenir Next" w:cstheme="minorHAnsi"/>
          <w:color w:val="000000" w:themeColor="text1"/>
          <w:sz w:val="22"/>
          <w:szCs w:val="22"/>
        </w:rPr>
        <w:t xml:space="preserve">-career </w:t>
      </w:r>
      <w:r w:rsidR="00C0403E" w:rsidRPr="00996DDA">
        <w:rPr>
          <w:rFonts w:ascii="Avenir Next" w:eastAsia="Avenir Next LT Pro" w:hAnsi="Avenir Next" w:cstheme="minorHAnsi"/>
          <w:color w:val="000000" w:themeColor="text1"/>
          <w:sz w:val="22"/>
          <w:szCs w:val="22"/>
        </w:rPr>
        <w:t>employees'</w:t>
      </w:r>
      <w:r w:rsidR="002770C1" w:rsidRPr="00996DDA">
        <w:rPr>
          <w:rFonts w:ascii="Avenir Next" w:eastAsia="Avenir Next LT Pro" w:hAnsi="Avenir Next" w:cstheme="minorHAnsi"/>
          <w:color w:val="000000" w:themeColor="text1"/>
          <w:sz w:val="22"/>
          <w:szCs w:val="22"/>
        </w:rPr>
        <w:t xml:space="preserve"> upskilling </w:t>
      </w:r>
      <w:r>
        <w:rPr>
          <w:rFonts w:ascii="Avenir Next" w:eastAsia="Avenir Next LT Pro" w:hAnsi="Avenir Next" w:cstheme="minorHAnsi"/>
          <w:color w:val="000000" w:themeColor="text1"/>
          <w:sz w:val="22"/>
          <w:szCs w:val="22"/>
        </w:rPr>
        <w:t>and</w:t>
      </w:r>
      <w:r w:rsidRPr="00996DDA">
        <w:rPr>
          <w:rFonts w:ascii="Avenir Next" w:eastAsia="Avenir Next LT Pro" w:hAnsi="Avenir Next" w:cstheme="minorHAnsi"/>
          <w:color w:val="000000" w:themeColor="text1"/>
          <w:sz w:val="22"/>
          <w:szCs w:val="22"/>
        </w:rPr>
        <w:t xml:space="preserve"> </w:t>
      </w:r>
      <w:r w:rsidR="002770C1" w:rsidRPr="00996DDA">
        <w:rPr>
          <w:rFonts w:ascii="Avenir Next" w:eastAsia="Avenir Next LT Pro" w:hAnsi="Avenir Next" w:cstheme="minorHAnsi"/>
          <w:color w:val="000000" w:themeColor="text1"/>
          <w:sz w:val="22"/>
          <w:szCs w:val="22"/>
        </w:rPr>
        <w:t>reskilling</w:t>
      </w:r>
      <w:r w:rsidR="00160944" w:rsidRPr="00996DDA">
        <w:rPr>
          <w:rFonts w:ascii="Avenir Next" w:eastAsia="Avenir Next LT Pro" w:hAnsi="Avenir Next" w:cstheme="minorHAnsi"/>
          <w:color w:val="000000" w:themeColor="text1"/>
          <w:sz w:val="22"/>
          <w:szCs w:val="22"/>
        </w:rPr>
        <w:t>.</w:t>
      </w:r>
      <w:r w:rsidR="002E044C" w:rsidRPr="00996DDA">
        <w:rPr>
          <w:rFonts w:ascii="Avenir Next" w:eastAsia="Avenir Next LT Pro" w:hAnsi="Avenir Next" w:cstheme="minorHAnsi"/>
          <w:color w:val="000000" w:themeColor="text1"/>
          <w:sz w:val="22"/>
          <w:szCs w:val="22"/>
        </w:rPr>
        <w:t xml:space="preserve"> </w:t>
      </w:r>
    </w:p>
    <w:p w14:paraId="7ACF56FE" w14:textId="77777777" w:rsidR="00554061" w:rsidRPr="00996DDA" w:rsidRDefault="00554061" w:rsidP="00554061">
      <w:pPr>
        <w:rPr>
          <w:rFonts w:ascii="Avenir Next" w:hAnsi="Avenir Next" w:cstheme="minorHAnsi"/>
          <w:sz w:val="22"/>
          <w:szCs w:val="22"/>
        </w:rPr>
      </w:pPr>
    </w:p>
    <w:p w14:paraId="65C32262" w14:textId="291A3E29" w:rsidR="008D76C0" w:rsidRPr="00996DDA" w:rsidRDefault="00982F80" w:rsidP="00CC4AC4">
      <w:r>
        <w:rPr>
          <w:rFonts w:ascii="Avenir Next" w:hAnsi="Avenir Next" w:cstheme="minorHAnsi"/>
          <w:sz w:val="22"/>
          <w:szCs w:val="22"/>
        </w:rPr>
        <w:t xml:space="preserve">The </w:t>
      </w:r>
      <w:r w:rsidR="00E835DF">
        <w:rPr>
          <w:rFonts w:ascii="Avenir Next" w:hAnsi="Avenir Next" w:cstheme="minorHAnsi"/>
          <w:sz w:val="22"/>
          <w:szCs w:val="22"/>
        </w:rPr>
        <w:t xml:space="preserve">new </w:t>
      </w:r>
      <w:r w:rsidR="00CC2049">
        <w:rPr>
          <w:rFonts w:ascii="Avenir Next" w:hAnsi="Avenir Next" w:cstheme="minorHAnsi"/>
          <w:sz w:val="22"/>
          <w:szCs w:val="22"/>
        </w:rPr>
        <w:t>model</w:t>
      </w:r>
      <w:r w:rsidR="00E835DF">
        <w:rPr>
          <w:rFonts w:ascii="Avenir Next" w:hAnsi="Avenir Next" w:cstheme="minorHAnsi"/>
          <w:sz w:val="22"/>
          <w:szCs w:val="22"/>
        </w:rPr>
        <w:t xml:space="preserve"> should also</w:t>
      </w:r>
      <w:r>
        <w:rPr>
          <w:rFonts w:ascii="Avenir Next" w:hAnsi="Avenir Next" w:cstheme="minorHAnsi"/>
          <w:sz w:val="22"/>
          <w:szCs w:val="22"/>
        </w:rPr>
        <w:t xml:space="preserve"> recognize the additional costs of</w:t>
      </w:r>
      <w:r w:rsidR="00554061" w:rsidRPr="00996DDA">
        <w:rPr>
          <w:rFonts w:ascii="Avenir Next" w:hAnsi="Avenir Next" w:cstheme="minorHAnsi"/>
          <w:sz w:val="22"/>
          <w:szCs w:val="22"/>
        </w:rPr>
        <w:t xml:space="preserve"> serv</w:t>
      </w:r>
      <w:r>
        <w:rPr>
          <w:rFonts w:ascii="Avenir Next" w:hAnsi="Avenir Next" w:cstheme="minorHAnsi"/>
          <w:sz w:val="22"/>
          <w:szCs w:val="22"/>
        </w:rPr>
        <w:t>ing</w:t>
      </w:r>
      <w:r w:rsidR="00554061" w:rsidRPr="00996DDA">
        <w:rPr>
          <w:rFonts w:ascii="Avenir Next" w:hAnsi="Avenir Next" w:cstheme="minorHAnsi"/>
          <w:sz w:val="22"/>
          <w:szCs w:val="22"/>
        </w:rPr>
        <w:t xml:space="preserve"> economically and academically disadvantaged students or adult learners who </w:t>
      </w:r>
      <w:r>
        <w:rPr>
          <w:rFonts w:ascii="Avenir Next" w:hAnsi="Avenir Next" w:cstheme="minorHAnsi"/>
          <w:sz w:val="22"/>
          <w:szCs w:val="22"/>
        </w:rPr>
        <w:t>depend on postsecondary</w:t>
      </w:r>
      <w:r w:rsidR="00554061" w:rsidRPr="00996DDA">
        <w:rPr>
          <w:rFonts w:ascii="Avenir Next" w:hAnsi="Avenir Next" w:cstheme="minorHAnsi"/>
          <w:sz w:val="22"/>
          <w:szCs w:val="22"/>
        </w:rPr>
        <w:t xml:space="preserve"> credentials of value to increase their long-term earnings potential. These students often </w:t>
      </w:r>
      <w:r w:rsidR="00554061" w:rsidRPr="00996DDA">
        <w:rPr>
          <w:rFonts w:ascii="Avenir Next" w:eastAsia="Times New Roman" w:hAnsi="Avenir Next" w:cstheme="minorHAnsi"/>
          <w:color w:val="212529"/>
          <w:sz w:val="22"/>
          <w:szCs w:val="22"/>
        </w:rPr>
        <w:t xml:space="preserve">require targeted support inside and outside the classroom and </w:t>
      </w:r>
      <w:r>
        <w:rPr>
          <w:rFonts w:ascii="Avenir Next" w:eastAsia="Times New Roman" w:hAnsi="Avenir Next" w:cstheme="minorHAnsi"/>
          <w:color w:val="212529"/>
          <w:sz w:val="22"/>
          <w:szCs w:val="22"/>
        </w:rPr>
        <w:t xml:space="preserve">more </w:t>
      </w:r>
      <w:r w:rsidR="00554061" w:rsidRPr="00996DDA">
        <w:rPr>
          <w:rFonts w:ascii="Avenir Next" w:eastAsia="Times New Roman" w:hAnsi="Avenir Next" w:cstheme="minorHAnsi"/>
          <w:color w:val="212529"/>
          <w:sz w:val="22"/>
          <w:szCs w:val="22"/>
        </w:rPr>
        <w:t>flexible schedules to accommodate their employment or family responsibilities.</w:t>
      </w:r>
    </w:p>
    <w:p w14:paraId="6F43E9FE" w14:textId="220CF296" w:rsidR="00E40C19" w:rsidRPr="00996DDA" w:rsidRDefault="00E40C19" w:rsidP="00EB52C5">
      <w:pPr>
        <w:pStyle w:val="Heading1"/>
        <w:rPr>
          <w:rFonts w:ascii="Avenir Next" w:hAnsi="Avenir Next"/>
          <w:b/>
          <w:bCs/>
          <w:sz w:val="22"/>
          <w:szCs w:val="22"/>
        </w:rPr>
      </w:pPr>
      <w:bookmarkStart w:id="8" w:name="_Affordability_for_Students"/>
      <w:bookmarkEnd w:id="8"/>
      <w:r w:rsidRPr="00996DDA">
        <w:rPr>
          <w:rFonts w:ascii="Avenir Next" w:hAnsi="Avenir Next"/>
          <w:b/>
          <w:bCs/>
          <w:sz w:val="22"/>
          <w:szCs w:val="22"/>
        </w:rPr>
        <w:t>Affordability for Students</w:t>
      </w:r>
    </w:p>
    <w:p w14:paraId="0CD96662" w14:textId="77777777" w:rsidR="00E40C19" w:rsidRPr="00996DDA" w:rsidRDefault="00E40C19" w:rsidP="00EB52C5">
      <w:pPr>
        <w:rPr>
          <w:rFonts w:ascii="Avenir Next" w:eastAsia="Avenir Next LT Pro" w:hAnsi="Avenir Next" w:cstheme="minorHAnsi"/>
          <w:sz w:val="22"/>
          <w:szCs w:val="22"/>
        </w:rPr>
      </w:pPr>
    </w:p>
    <w:p w14:paraId="6D5DCC0F" w14:textId="7778FF03" w:rsidR="00E40C19" w:rsidRPr="00996DDA" w:rsidRDefault="00CC2049" w:rsidP="009C2404">
      <w:pPr>
        <w:rPr>
          <w:rFonts w:ascii="Avenir Next" w:hAnsi="Avenir Next" w:cstheme="minorHAnsi"/>
          <w:sz w:val="22"/>
          <w:szCs w:val="22"/>
        </w:rPr>
      </w:pPr>
      <w:r>
        <w:rPr>
          <w:rFonts w:ascii="Avenir Next" w:eastAsia="Avenir Next LT Pro" w:hAnsi="Avenir Next" w:cstheme="minorHAnsi"/>
          <w:sz w:val="22"/>
          <w:szCs w:val="22"/>
        </w:rPr>
        <w:t xml:space="preserve">In addition to dynamic formula funding for colleges, a comprehensive approach to meeting the state’s emerging workforce needs </w:t>
      </w:r>
      <w:r w:rsidR="009C2404">
        <w:rPr>
          <w:rFonts w:ascii="Avenir Next" w:eastAsia="Avenir Next LT Pro" w:hAnsi="Avenir Next" w:cstheme="minorHAnsi"/>
          <w:sz w:val="22"/>
          <w:szCs w:val="22"/>
        </w:rPr>
        <w:t xml:space="preserve">must </w:t>
      </w:r>
      <w:r w:rsidR="00CE4837">
        <w:rPr>
          <w:rFonts w:ascii="Avenir Next" w:eastAsia="Avenir Next LT Pro" w:hAnsi="Avenir Next" w:cstheme="minorHAnsi"/>
          <w:sz w:val="22"/>
          <w:szCs w:val="22"/>
        </w:rPr>
        <w:t>provide financial aid that will help more</w:t>
      </w:r>
      <w:r w:rsidR="009C2404">
        <w:rPr>
          <w:rFonts w:ascii="Avenir Next" w:eastAsia="Avenir Next LT Pro" w:hAnsi="Avenir Next" w:cstheme="minorHAnsi"/>
          <w:sz w:val="22"/>
          <w:szCs w:val="22"/>
        </w:rPr>
        <w:t xml:space="preserve"> </w:t>
      </w:r>
      <w:r w:rsidR="00E40C19" w:rsidRPr="00996DDA">
        <w:rPr>
          <w:rFonts w:ascii="Avenir Next" w:eastAsia="Avenir Next LT Pro" w:hAnsi="Avenir Next" w:cstheme="minorHAnsi"/>
          <w:sz w:val="22"/>
          <w:szCs w:val="22"/>
        </w:rPr>
        <w:t>low-income students participate in and complete postsecondary credentials</w:t>
      </w:r>
      <w:r w:rsidR="009C2404">
        <w:rPr>
          <w:rFonts w:ascii="Avenir Next" w:eastAsia="Avenir Next LT Pro" w:hAnsi="Avenir Next" w:cstheme="minorHAnsi"/>
          <w:sz w:val="22"/>
          <w:szCs w:val="22"/>
        </w:rPr>
        <w:t xml:space="preserve">. This </w:t>
      </w:r>
      <w:r>
        <w:rPr>
          <w:rFonts w:ascii="Avenir Next" w:eastAsia="Avenir Next LT Pro" w:hAnsi="Avenir Next" w:cstheme="minorHAnsi"/>
          <w:sz w:val="22"/>
          <w:szCs w:val="22"/>
        </w:rPr>
        <w:t xml:space="preserve">strategic investment </w:t>
      </w:r>
      <w:r w:rsidR="009C2404">
        <w:rPr>
          <w:rFonts w:ascii="Avenir Next" w:eastAsia="Avenir Next LT Pro" w:hAnsi="Avenir Next" w:cstheme="minorHAnsi"/>
          <w:sz w:val="22"/>
          <w:szCs w:val="22"/>
        </w:rPr>
        <w:t>is particularly important as the state moves past the</w:t>
      </w:r>
      <w:r w:rsidR="00E40C19" w:rsidRPr="00996DDA">
        <w:rPr>
          <w:rFonts w:ascii="Avenir Next" w:eastAsia="Avenir Next LT Pro" w:hAnsi="Avenir Next" w:cstheme="minorHAnsi"/>
          <w:sz w:val="22"/>
          <w:szCs w:val="22"/>
        </w:rPr>
        <w:t xml:space="preserve"> </w:t>
      </w:r>
      <w:r w:rsidR="009C2404">
        <w:rPr>
          <w:rFonts w:ascii="Avenir Next" w:eastAsia="Avenir Next LT Pro" w:hAnsi="Avenir Next" w:cstheme="minorHAnsi"/>
          <w:sz w:val="22"/>
          <w:szCs w:val="22"/>
        </w:rPr>
        <w:t xml:space="preserve">global </w:t>
      </w:r>
      <w:r w:rsidR="00E40C19" w:rsidRPr="00996DDA">
        <w:rPr>
          <w:rFonts w:ascii="Avenir Next" w:eastAsia="Avenir Next LT Pro" w:hAnsi="Avenir Next" w:cstheme="minorHAnsi"/>
          <w:sz w:val="22"/>
          <w:szCs w:val="22"/>
        </w:rPr>
        <w:t>COVID-19 pandemic</w:t>
      </w:r>
      <w:r w:rsidR="009C2404">
        <w:rPr>
          <w:rFonts w:ascii="Avenir Next" w:eastAsia="Avenir Next LT Pro" w:hAnsi="Avenir Next" w:cstheme="minorHAnsi"/>
          <w:sz w:val="22"/>
          <w:szCs w:val="22"/>
        </w:rPr>
        <w:t>, which</w:t>
      </w:r>
      <w:r w:rsidR="00E40C19" w:rsidRPr="00996DDA">
        <w:rPr>
          <w:rFonts w:ascii="Avenir Next" w:eastAsia="Avenir Next LT Pro" w:hAnsi="Avenir Next" w:cstheme="minorHAnsi"/>
          <w:sz w:val="22"/>
          <w:szCs w:val="22"/>
        </w:rPr>
        <w:t xml:space="preserve"> </w:t>
      </w:r>
      <w:r w:rsidR="009C2404">
        <w:rPr>
          <w:rFonts w:ascii="Avenir Next" w:eastAsia="Avenir Next LT Pro" w:hAnsi="Avenir Next" w:cstheme="minorHAnsi"/>
          <w:sz w:val="22"/>
          <w:szCs w:val="22"/>
        </w:rPr>
        <w:t>caused</w:t>
      </w:r>
      <w:r w:rsidR="00E40C19" w:rsidRPr="00996DDA">
        <w:rPr>
          <w:rFonts w:ascii="Avenir Next" w:eastAsia="Avenir Next LT Pro" w:hAnsi="Avenir Next" w:cstheme="minorHAnsi"/>
          <w:sz w:val="22"/>
          <w:szCs w:val="22"/>
        </w:rPr>
        <w:t xml:space="preserve"> many low-income students to delay or forego college enrollment. </w:t>
      </w:r>
    </w:p>
    <w:p w14:paraId="1808128C" w14:textId="79CE428C" w:rsidR="00E40C19" w:rsidRPr="00996DDA" w:rsidRDefault="00E40C19" w:rsidP="00EB52C5">
      <w:pPr>
        <w:rPr>
          <w:rFonts w:ascii="Avenir Next" w:eastAsia="Times New Roman" w:hAnsi="Avenir Next" w:cstheme="minorHAnsi"/>
          <w:color w:val="212529"/>
          <w:sz w:val="22"/>
          <w:szCs w:val="22"/>
        </w:rPr>
      </w:pPr>
    </w:p>
    <w:p w14:paraId="248DED38" w14:textId="4971C672" w:rsidR="002E044C" w:rsidRPr="00996DDA" w:rsidRDefault="00E40C19" w:rsidP="00EB52C5">
      <w:pPr>
        <w:rPr>
          <w:rFonts w:ascii="Avenir Next" w:eastAsia="Avenir Next LT Pro" w:hAnsi="Avenir Next" w:cstheme="minorHAnsi"/>
          <w:sz w:val="22"/>
          <w:szCs w:val="22"/>
        </w:rPr>
      </w:pPr>
      <w:r w:rsidRPr="00996DDA">
        <w:rPr>
          <w:rFonts w:ascii="Avenir Next" w:eastAsia="Avenir Next LT Pro" w:hAnsi="Avenir Next" w:cstheme="minorHAnsi"/>
          <w:sz w:val="22"/>
          <w:szCs w:val="22"/>
        </w:rPr>
        <w:t>This year, the state’s principal need-based aid program for students at community colleges, Texas Educational Opportunity Grants (TEOG), is projected to serve approximately 28 percent of eligible students</w:t>
      </w:r>
      <w:r w:rsidR="006C71F5" w:rsidRPr="00996DDA">
        <w:rPr>
          <w:rFonts w:ascii="Avenir Next" w:eastAsia="Avenir Next LT Pro" w:hAnsi="Avenir Next" w:cstheme="minorHAnsi"/>
          <w:sz w:val="22"/>
          <w:szCs w:val="22"/>
        </w:rPr>
        <w:t>.</w:t>
      </w:r>
      <w:r w:rsidR="00982F80">
        <w:rPr>
          <w:rFonts w:ascii="Avenir Next" w:eastAsia="Avenir Next LT Pro" w:hAnsi="Avenir Next" w:cstheme="minorHAnsi"/>
          <w:sz w:val="22"/>
          <w:szCs w:val="22"/>
        </w:rPr>
        <w:t xml:space="preserve"> </w:t>
      </w:r>
      <w:r w:rsidR="00316985">
        <w:rPr>
          <w:rFonts w:ascii="Avenir Next" w:eastAsia="Avenir Next LT Pro" w:hAnsi="Avenir Next" w:cstheme="minorHAnsi"/>
          <w:sz w:val="22"/>
          <w:szCs w:val="22"/>
        </w:rPr>
        <w:t>The state has the opportunity to bring those levels closer to the support provided by</w:t>
      </w:r>
      <w:r w:rsidR="00CC06EA">
        <w:rPr>
          <w:rFonts w:ascii="Avenir Next" w:eastAsia="Avenir Next LT Pro" w:hAnsi="Avenir Next" w:cstheme="minorHAnsi"/>
          <w:sz w:val="22"/>
          <w:szCs w:val="22"/>
        </w:rPr>
        <w:t xml:space="preserve"> </w:t>
      </w:r>
      <w:r w:rsidR="002E044C" w:rsidRPr="00996DDA">
        <w:rPr>
          <w:rFonts w:ascii="Avenir Next" w:eastAsia="Avenir Next LT Pro" w:hAnsi="Avenir Next" w:cstheme="minorHAnsi"/>
          <w:sz w:val="22"/>
          <w:szCs w:val="22"/>
        </w:rPr>
        <w:t>TEXAS Grants</w:t>
      </w:r>
      <w:r w:rsidR="00316985">
        <w:rPr>
          <w:rFonts w:ascii="Avenir Next" w:eastAsia="Avenir Next LT Pro" w:hAnsi="Avenir Next" w:cstheme="minorHAnsi"/>
          <w:sz w:val="22"/>
          <w:szCs w:val="22"/>
        </w:rPr>
        <w:t>, which</w:t>
      </w:r>
      <w:r w:rsidR="002E044C" w:rsidRPr="00996DDA">
        <w:rPr>
          <w:rFonts w:ascii="Avenir Next" w:eastAsia="Avenir Next LT Pro" w:hAnsi="Avenir Next" w:cstheme="minorHAnsi"/>
          <w:sz w:val="22"/>
          <w:szCs w:val="22"/>
        </w:rPr>
        <w:t xml:space="preserve"> </w:t>
      </w:r>
      <w:r w:rsidR="00CC2049">
        <w:rPr>
          <w:rFonts w:ascii="Avenir Next" w:eastAsia="Avenir Next LT Pro" w:hAnsi="Avenir Next" w:cstheme="minorHAnsi"/>
          <w:sz w:val="22"/>
          <w:szCs w:val="22"/>
        </w:rPr>
        <w:t xml:space="preserve">this year </w:t>
      </w:r>
      <w:r w:rsidR="00BE1E6C" w:rsidRPr="00996DDA">
        <w:rPr>
          <w:rFonts w:ascii="Avenir Next" w:eastAsia="Avenir Next LT Pro" w:hAnsi="Avenir Next" w:cstheme="minorHAnsi"/>
          <w:sz w:val="22"/>
          <w:szCs w:val="22"/>
        </w:rPr>
        <w:t xml:space="preserve">will </w:t>
      </w:r>
      <w:r w:rsidR="00CC06EA">
        <w:rPr>
          <w:rFonts w:ascii="Avenir Next" w:eastAsia="Avenir Next LT Pro" w:hAnsi="Avenir Next" w:cstheme="minorHAnsi"/>
          <w:sz w:val="22"/>
          <w:szCs w:val="22"/>
        </w:rPr>
        <w:t>provide assistance to</w:t>
      </w:r>
      <w:r w:rsidR="00BE1E6C" w:rsidRPr="00996DDA">
        <w:rPr>
          <w:rFonts w:ascii="Avenir Next" w:eastAsia="Avenir Next LT Pro" w:hAnsi="Avenir Next" w:cstheme="minorHAnsi"/>
          <w:sz w:val="22"/>
          <w:szCs w:val="22"/>
        </w:rPr>
        <w:t xml:space="preserve"> </w:t>
      </w:r>
      <w:r w:rsidR="00982F80">
        <w:rPr>
          <w:rFonts w:ascii="Avenir Next" w:eastAsia="Avenir Next LT Pro" w:hAnsi="Avenir Next" w:cs="Avenir Next LT Pro"/>
          <w:sz w:val="22"/>
          <w:szCs w:val="22"/>
        </w:rPr>
        <w:t>more than 68</w:t>
      </w:r>
      <w:r w:rsidR="002E044C" w:rsidRPr="00727D43">
        <w:rPr>
          <w:rFonts w:ascii="Avenir Next" w:eastAsia="Avenir Next LT Pro" w:hAnsi="Avenir Next" w:cs="Avenir Next LT Pro"/>
          <w:sz w:val="22"/>
          <w:szCs w:val="22"/>
        </w:rPr>
        <w:t xml:space="preserve"> percent of qualified low-income </w:t>
      </w:r>
      <w:r w:rsidR="00CC06EA">
        <w:rPr>
          <w:rFonts w:ascii="Avenir Next" w:eastAsia="Avenir Next LT Pro" w:hAnsi="Avenir Next" w:cs="Avenir Next LT Pro"/>
          <w:sz w:val="22"/>
          <w:szCs w:val="22"/>
        </w:rPr>
        <w:t xml:space="preserve">undergraduate </w:t>
      </w:r>
      <w:r w:rsidR="002E044C" w:rsidRPr="00727D43">
        <w:rPr>
          <w:rFonts w:ascii="Avenir Next" w:eastAsia="Avenir Next LT Pro" w:hAnsi="Avenir Next" w:cs="Avenir Next LT Pro"/>
          <w:sz w:val="22"/>
          <w:szCs w:val="22"/>
        </w:rPr>
        <w:t>students at</w:t>
      </w:r>
      <w:r w:rsidR="00CC06EA">
        <w:rPr>
          <w:rFonts w:ascii="Avenir Next" w:eastAsia="Avenir Next LT Pro" w:hAnsi="Avenir Next" w:cs="Avenir Next LT Pro"/>
          <w:sz w:val="22"/>
          <w:szCs w:val="22"/>
        </w:rPr>
        <w:t>tending</w:t>
      </w:r>
      <w:r w:rsidR="002E044C" w:rsidRPr="00727D43">
        <w:rPr>
          <w:rFonts w:ascii="Avenir Next" w:eastAsia="Avenir Next LT Pro" w:hAnsi="Avenir Next" w:cs="Avenir Next LT Pro"/>
          <w:sz w:val="22"/>
          <w:szCs w:val="22"/>
        </w:rPr>
        <w:t xml:space="preserve"> four-year institutions.</w:t>
      </w:r>
    </w:p>
    <w:p w14:paraId="537E1480" w14:textId="77777777" w:rsidR="002E044C" w:rsidRPr="00996DDA" w:rsidRDefault="002E044C" w:rsidP="00EB52C5">
      <w:pPr>
        <w:rPr>
          <w:rFonts w:ascii="Avenir Next" w:eastAsia="Avenir Next LT Pro" w:hAnsi="Avenir Next" w:cstheme="minorHAnsi"/>
          <w:sz w:val="22"/>
          <w:szCs w:val="22"/>
        </w:rPr>
      </w:pPr>
    </w:p>
    <w:p w14:paraId="41629F26" w14:textId="793EE24A" w:rsidR="00516BCE" w:rsidRPr="00996DDA" w:rsidRDefault="009C2404" w:rsidP="00516BCE">
      <w:pPr>
        <w:rPr>
          <w:rFonts w:ascii="Avenir Next" w:hAnsi="Avenir Next" w:cstheme="minorHAnsi"/>
          <w:sz w:val="22"/>
          <w:szCs w:val="22"/>
        </w:rPr>
      </w:pPr>
      <w:r>
        <w:rPr>
          <w:rFonts w:ascii="Avenir Next" w:eastAsia="Avenir Next LT Pro" w:hAnsi="Avenir Next" w:cstheme="minorHAnsi"/>
          <w:sz w:val="22"/>
          <w:szCs w:val="22"/>
        </w:rPr>
        <w:t>A funding model that</w:t>
      </w:r>
      <w:r w:rsidR="00316985">
        <w:rPr>
          <w:rFonts w:ascii="Avenir Next" w:eastAsia="Avenir Next LT Pro" w:hAnsi="Avenir Next" w:cstheme="minorHAnsi"/>
          <w:sz w:val="22"/>
          <w:szCs w:val="22"/>
        </w:rPr>
        <w:t xml:space="preserve"> </w:t>
      </w:r>
      <w:r w:rsidR="003D569E">
        <w:rPr>
          <w:rFonts w:ascii="Avenir Next" w:eastAsia="Avenir Next LT Pro" w:hAnsi="Avenir Next" w:cstheme="minorHAnsi"/>
          <w:sz w:val="22"/>
          <w:szCs w:val="22"/>
        </w:rPr>
        <w:t>increases</w:t>
      </w:r>
      <w:r w:rsidR="00516BCE">
        <w:rPr>
          <w:rFonts w:ascii="Avenir Next" w:eastAsia="Avenir Next LT Pro" w:hAnsi="Avenir Next" w:cstheme="minorHAnsi"/>
          <w:sz w:val="22"/>
          <w:szCs w:val="22"/>
        </w:rPr>
        <w:t xml:space="preserve"> need-based financial aid</w:t>
      </w:r>
      <w:r w:rsidR="00E40C19" w:rsidRPr="00996DDA">
        <w:rPr>
          <w:rFonts w:ascii="Avenir Next" w:eastAsia="Avenir Next LT Pro" w:hAnsi="Avenir Next" w:cstheme="minorHAnsi"/>
          <w:sz w:val="22"/>
          <w:szCs w:val="22"/>
        </w:rPr>
        <w:t xml:space="preserve"> </w:t>
      </w:r>
      <w:r w:rsidR="003D569E">
        <w:rPr>
          <w:rFonts w:ascii="Avenir Next" w:eastAsia="Avenir Next LT Pro" w:hAnsi="Avenir Next" w:cstheme="minorHAnsi"/>
          <w:sz w:val="22"/>
          <w:szCs w:val="22"/>
        </w:rPr>
        <w:t xml:space="preserve">will help </w:t>
      </w:r>
      <w:r w:rsidR="0014553A">
        <w:rPr>
          <w:rFonts w:ascii="Avenir Next" w:eastAsia="Avenir Next LT Pro" w:hAnsi="Avenir Next" w:cstheme="minorHAnsi"/>
          <w:sz w:val="22"/>
          <w:szCs w:val="22"/>
        </w:rPr>
        <w:t>more</w:t>
      </w:r>
      <w:r w:rsidR="0014553A" w:rsidRPr="00996DDA">
        <w:rPr>
          <w:rFonts w:ascii="Avenir Next" w:eastAsia="Avenir Next LT Pro" w:hAnsi="Avenir Next" w:cstheme="minorHAnsi"/>
          <w:sz w:val="22"/>
          <w:szCs w:val="22"/>
        </w:rPr>
        <w:t xml:space="preserve"> </w:t>
      </w:r>
      <w:r w:rsidR="003D569E">
        <w:rPr>
          <w:rFonts w:ascii="Avenir Next" w:eastAsia="Avenir Next LT Pro" w:hAnsi="Avenir Next" w:cstheme="minorHAnsi"/>
          <w:sz w:val="22"/>
          <w:szCs w:val="22"/>
        </w:rPr>
        <w:t xml:space="preserve">eligible </w:t>
      </w:r>
      <w:r w:rsidR="00E40C19" w:rsidRPr="00996DDA">
        <w:rPr>
          <w:rFonts w:ascii="Avenir Next" w:eastAsia="Avenir Next LT Pro" w:hAnsi="Avenir Next" w:cstheme="minorHAnsi"/>
          <w:sz w:val="22"/>
          <w:szCs w:val="22"/>
        </w:rPr>
        <w:t xml:space="preserve">students complete </w:t>
      </w:r>
      <w:r w:rsidR="002E044C" w:rsidRPr="00996DDA">
        <w:rPr>
          <w:rFonts w:ascii="Avenir Next" w:eastAsia="Avenir Next LT Pro" w:hAnsi="Avenir Next" w:cstheme="minorHAnsi"/>
          <w:sz w:val="22"/>
          <w:szCs w:val="22"/>
        </w:rPr>
        <w:t xml:space="preserve">community college </w:t>
      </w:r>
      <w:r w:rsidR="00E40C19" w:rsidRPr="00996DDA">
        <w:rPr>
          <w:rFonts w:ascii="Avenir Next" w:eastAsia="Avenir Next LT Pro" w:hAnsi="Avenir Next" w:cstheme="minorHAnsi"/>
          <w:sz w:val="22"/>
          <w:szCs w:val="22"/>
        </w:rPr>
        <w:t xml:space="preserve">programs </w:t>
      </w:r>
      <w:r w:rsidR="002E044C" w:rsidRPr="00996DDA">
        <w:rPr>
          <w:rFonts w:ascii="Avenir Next" w:eastAsia="Avenir Next LT Pro" w:hAnsi="Avenir Next" w:cstheme="minorHAnsi"/>
          <w:sz w:val="22"/>
          <w:szCs w:val="22"/>
        </w:rPr>
        <w:t xml:space="preserve">that </w:t>
      </w:r>
      <w:r w:rsidR="00E40C19" w:rsidRPr="00996DDA">
        <w:rPr>
          <w:rFonts w:ascii="Avenir Next" w:eastAsia="Avenir Next LT Pro" w:hAnsi="Avenir Next" w:cstheme="minorHAnsi"/>
          <w:sz w:val="22"/>
          <w:szCs w:val="22"/>
        </w:rPr>
        <w:t xml:space="preserve">lead to postsecondary credentials of value </w:t>
      </w:r>
      <w:r w:rsidR="003D569E">
        <w:rPr>
          <w:rFonts w:ascii="Avenir Next" w:eastAsia="Avenir Next LT Pro" w:hAnsi="Avenir Next" w:cstheme="minorHAnsi"/>
          <w:sz w:val="22"/>
          <w:szCs w:val="22"/>
        </w:rPr>
        <w:t>without</w:t>
      </w:r>
      <w:r w:rsidR="00CE4837">
        <w:rPr>
          <w:rFonts w:ascii="Avenir Next" w:eastAsia="Avenir Next LT Pro" w:hAnsi="Avenir Next" w:cstheme="minorHAnsi"/>
          <w:sz w:val="22"/>
          <w:szCs w:val="22"/>
        </w:rPr>
        <w:t xml:space="preserve"> incurring</w:t>
      </w:r>
      <w:r w:rsidR="003D569E">
        <w:rPr>
          <w:rFonts w:ascii="Avenir Next" w:eastAsia="Avenir Next LT Pro" w:hAnsi="Avenir Next" w:cstheme="minorHAnsi"/>
          <w:sz w:val="22"/>
          <w:szCs w:val="22"/>
        </w:rPr>
        <w:t xml:space="preserve"> </w:t>
      </w:r>
      <w:r w:rsidR="00E40C19" w:rsidRPr="00996DDA">
        <w:rPr>
          <w:rFonts w:ascii="Avenir Next" w:eastAsia="Avenir Next LT Pro" w:hAnsi="Avenir Next" w:cstheme="minorHAnsi"/>
          <w:sz w:val="22"/>
          <w:szCs w:val="22"/>
        </w:rPr>
        <w:t>high levels of debt.</w:t>
      </w:r>
      <w:r w:rsidR="00516BCE">
        <w:rPr>
          <w:rFonts w:ascii="Avenir Next" w:eastAsia="Avenir Next LT Pro" w:hAnsi="Avenir Next" w:cstheme="minorHAnsi"/>
          <w:sz w:val="22"/>
          <w:szCs w:val="22"/>
        </w:rPr>
        <w:t xml:space="preserve"> </w:t>
      </w:r>
      <w:r w:rsidR="003D569E">
        <w:rPr>
          <w:rFonts w:ascii="Avenir Next" w:eastAsia="Avenir Next LT Pro" w:hAnsi="Avenir Next" w:cstheme="minorHAnsi"/>
          <w:sz w:val="22"/>
          <w:szCs w:val="22"/>
        </w:rPr>
        <w:t xml:space="preserve">This </w:t>
      </w:r>
      <w:r w:rsidR="00CC2049">
        <w:rPr>
          <w:rFonts w:ascii="Avenir Next" w:eastAsia="Avenir Next LT Pro" w:hAnsi="Avenir Next" w:cstheme="minorHAnsi"/>
          <w:sz w:val="22"/>
          <w:szCs w:val="22"/>
        </w:rPr>
        <w:t xml:space="preserve">investment </w:t>
      </w:r>
      <w:r w:rsidR="003D569E">
        <w:rPr>
          <w:rFonts w:ascii="Avenir Next" w:eastAsia="Avenir Next LT Pro" w:hAnsi="Avenir Next" w:cstheme="minorHAnsi"/>
          <w:sz w:val="22"/>
          <w:szCs w:val="22"/>
        </w:rPr>
        <w:t>will especially help</w:t>
      </w:r>
      <w:r w:rsidR="00516BCE">
        <w:rPr>
          <w:rFonts w:ascii="Avenir Next" w:eastAsia="Avenir Next LT Pro" w:hAnsi="Avenir Next" w:cstheme="minorHAnsi"/>
          <w:sz w:val="22"/>
          <w:szCs w:val="22"/>
        </w:rPr>
        <w:t xml:space="preserve"> students </w:t>
      </w:r>
      <w:r w:rsidR="00516BCE">
        <w:rPr>
          <w:rFonts w:ascii="Avenir Next" w:hAnsi="Avenir Next" w:cstheme="minorHAnsi"/>
          <w:sz w:val="22"/>
          <w:szCs w:val="22"/>
        </w:rPr>
        <w:t>who</w:t>
      </w:r>
      <w:r w:rsidR="00516BCE" w:rsidRPr="00996DDA">
        <w:rPr>
          <w:rFonts w:ascii="Avenir Next" w:hAnsi="Avenir Next" w:cstheme="minorHAnsi"/>
          <w:sz w:val="22"/>
          <w:szCs w:val="22"/>
        </w:rPr>
        <w:t xml:space="preserve"> live outside community college</w:t>
      </w:r>
      <w:r w:rsidR="00CC2049">
        <w:rPr>
          <w:rFonts w:ascii="Avenir Next" w:hAnsi="Avenir Next" w:cstheme="minorHAnsi"/>
          <w:sz w:val="22"/>
          <w:szCs w:val="22"/>
        </w:rPr>
        <w:t>s’</w:t>
      </w:r>
      <w:r w:rsidR="00516BCE" w:rsidRPr="00996DDA">
        <w:rPr>
          <w:rFonts w:ascii="Avenir Next" w:hAnsi="Avenir Next" w:cstheme="minorHAnsi"/>
          <w:sz w:val="22"/>
          <w:szCs w:val="22"/>
        </w:rPr>
        <w:t xml:space="preserve"> taxing districts</w:t>
      </w:r>
      <w:r w:rsidR="00516BCE">
        <w:rPr>
          <w:rFonts w:ascii="Avenir Next" w:hAnsi="Avenir Next" w:cstheme="minorHAnsi"/>
          <w:sz w:val="22"/>
          <w:szCs w:val="22"/>
        </w:rPr>
        <w:t xml:space="preserve"> </w:t>
      </w:r>
      <w:r w:rsidR="003D569E">
        <w:rPr>
          <w:rFonts w:ascii="Avenir Next" w:hAnsi="Avenir Next" w:cstheme="minorHAnsi"/>
          <w:sz w:val="22"/>
          <w:szCs w:val="22"/>
        </w:rPr>
        <w:t xml:space="preserve">and </w:t>
      </w:r>
      <w:r w:rsidR="00516BCE">
        <w:rPr>
          <w:rFonts w:ascii="Avenir Next" w:hAnsi="Avenir Next" w:cstheme="minorHAnsi"/>
          <w:sz w:val="22"/>
          <w:szCs w:val="22"/>
        </w:rPr>
        <w:t xml:space="preserve">generally </w:t>
      </w:r>
      <w:r w:rsidR="00516BCE" w:rsidRPr="00996DDA">
        <w:rPr>
          <w:rFonts w:ascii="Avenir Next" w:hAnsi="Avenir Next" w:cstheme="minorHAnsi"/>
          <w:sz w:val="22"/>
          <w:szCs w:val="22"/>
        </w:rPr>
        <w:t>pay higher, out-of-district tuition rates.</w:t>
      </w:r>
    </w:p>
    <w:p w14:paraId="7A1DEF20" w14:textId="0FAD29BA" w:rsidR="00AC0663" w:rsidRPr="00996DDA" w:rsidRDefault="00AC0663" w:rsidP="00EB52C5">
      <w:pPr>
        <w:rPr>
          <w:rFonts w:ascii="Avenir Next" w:hAnsi="Avenir Next" w:cstheme="minorHAnsi"/>
          <w:i/>
          <w:iCs/>
          <w:sz w:val="22"/>
          <w:szCs w:val="22"/>
        </w:rPr>
      </w:pPr>
    </w:p>
    <w:p w14:paraId="5EF7F565" w14:textId="5BC8BD67" w:rsidR="008D76C0" w:rsidRPr="00996DDA" w:rsidRDefault="00516BCE" w:rsidP="00EB52C5">
      <w:pPr>
        <w:rPr>
          <w:rFonts w:ascii="Avenir Next" w:hAnsi="Avenir Next" w:cstheme="minorHAnsi"/>
          <w:sz w:val="22"/>
          <w:szCs w:val="22"/>
        </w:rPr>
      </w:pPr>
      <w:r>
        <w:rPr>
          <w:rFonts w:ascii="Avenir Next" w:hAnsi="Avenir Next" w:cstheme="minorHAnsi"/>
          <w:sz w:val="22"/>
          <w:szCs w:val="22"/>
        </w:rPr>
        <w:t>Across the state</w:t>
      </w:r>
      <w:r w:rsidR="00982F80">
        <w:rPr>
          <w:rFonts w:ascii="Avenir Next" w:hAnsi="Avenir Next" w:cstheme="minorHAnsi"/>
          <w:sz w:val="22"/>
          <w:szCs w:val="22"/>
        </w:rPr>
        <w:t xml:space="preserve">, enrollments in dual credit courses accelerated rapidly over the past two decades as </w:t>
      </w:r>
      <w:r>
        <w:rPr>
          <w:rFonts w:ascii="Avenir Next" w:hAnsi="Avenir Next" w:cstheme="minorHAnsi"/>
          <w:sz w:val="22"/>
          <w:szCs w:val="22"/>
        </w:rPr>
        <w:t xml:space="preserve">state </w:t>
      </w:r>
      <w:r w:rsidR="00982F80">
        <w:rPr>
          <w:rFonts w:ascii="Avenir Next" w:hAnsi="Avenir Next" w:cstheme="minorHAnsi"/>
          <w:sz w:val="22"/>
          <w:szCs w:val="22"/>
        </w:rPr>
        <w:t xml:space="preserve">policymakers aligned incentives to encourage school districts and colleges to offer more </w:t>
      </w:r>
      <w:r>
        <w:rPr>
          <w:rFonts w:ascii="Avenir Next" w:hAnsi="Avenir Next" w:cstheme="minorHAnsi"/>
          <w:sz w:val="22"/>
          <w:szCs w:val="22"/>
        </w:rPr>
        <w:t>dual credit courses. However, enrollments in these courses</w:t>
      </w:r>
      <w:r w:rsidR="00982F80">
        <w:rPr>
          <w:rFonts w:ascii="Avenir Next" w:hAnsi="Avenir Next" w:cstheme="minorHAnsi"/>
          <w:sz w:val="22"/>
          <w:szCs w:val="22"/>
        </w:rPr>
        <w:t>, which</w:t>
      </w:r>
      <w:r w:rsidR="00982F80" w:rsidRPr="00996DDA">
        <w:rPr>
          <w:rFonts w:ascii="Avenir Next" w:hAnsi="Avenir Next" w:cstheme="minorHAnsi"/>
          <w:sz w:val="22"/>
          <w:szCs w:val="22"/>
        </w:rPr>
        <w:t xml:space="preserve"> </w:t>
      </w:r>
      <w:r w:rsidR="00EC21EE" w:rsidRPr="00996DDA">
        <w:rPr>
          <w:rFonts w:ascii="Avenir Next" w:hAnsi="Avenir Next" w:cstheme="minorHAnsi"/>
          <w:sz w:val="22"/>
          <w:szCs w:val="22"/>
        </w:rPr>
        <w:t xml:space="preserve">can </w:t>
      </w:r>
      <w:r w:rsidR="009A1235" w:rsidRPr="00996DDA">
        <w:rPr>
          <w:rFonts w:ascii="Avenir Next" w:hAnsi="Avenir Next" w:cstheme="minorHAnsi"/>
          <w:sz w:val="22"/>
          <w:szCs w:val="22"/>
        </w:rPr>
        <w:t xml:space="preserve">set high school students on </w:t>
      </w:r>
      <w:r w:rsidR="00982F80">
        <w:rPr>
          <w:rFonts w:ascii="Avenir Next" w:hAnsi="Avenir Next" w:cstheme="minorHAnsi"/>
          <w:sz w:val="22"/>
          <w:szCs w:val="22"/>
        </w:rPr>
        <w:t>early</w:t>
      </w:r>
      <w:r w:rsidR="009A1235" w:rsidRPr="00996DDA">
        <w:rPr>
          <w:rFonts w:ascii="Avenir Next" w:hAnsi="Avenir Next" w:cstheme="minorHAnsi"/>
          <w:sz w:val="22"/>
          <w:szCs w:val="22"/>
        </w:rPr>
        <w:t xml:space="preserve"> pathway</w:t>
      </w:r>
      <w:r w:rsidR="00102007">
        <w:rPr>
          <w:rFonts w:ascii="Avenir Next" w:hAnsi="Avenir Next" w:cstheme="minorHAnsi"/>
          <w:sz w:val="22"/>
          <w:szCs w:val="22"/>
        </w:rPr>
        <w:t>s</w:t>
      </w:r>
      <w:r w:rsidR="009A1235" w:rsidRPr="00996DDA">
        <w:rPr>
          <w:rFonts w:ascii="Avenir Next" w:hAnsi="Avenir Next" w:cstheme="minorHAnsi"/>
          <w:sz w:val="22"/>
          <w:szCs w:val="22"/>
        </w:rPr>
        <w:t xml:space="preserve"> to success</w:t>
      </w:r>
      <w:r w:rsidR="00982F80">
        <w:rPr>
          <w:rFonts w:ascii="Avenir Next" w:hAnsi="Avenir Next" w:cstheme="minorHAnsi"/>
          <w:sz w:val="22"/>
          <w:szCs w:val="22"/>
        </w:rPr>
        <w:t xml:space="preserve">, have accelerated more </w:t>
      </w:r>
      <w:r>
        <w:rPr>
          <w:rFonts w:ascii="Avenir Next" w:hAnsi="Avenir Next" w:cstheme="minorHAnsi"/>
          <w:sz w:val="22"/>
          <w:szCs w:val="22"/>
        </w:rPr>
        <w:t>slowly</w:t>
      </w:r>
      <w:r w:rsidR="00982F80">
        <w:rPr>
          <w:rFonts w:ascii="Avenir Next" w:hAnsi="Avenir Next" w:cstheme="minorHAnsi"/>
          <w:sz w:val="22"/>
          <w:szCs w:val="22"/>
        </w:rPr>
        <w:t xml:space="preserve"> for students who are </w:t>
      </w:r>
      <w:r w:rsidR="00102007">
        <w:rPr>
          <w:rFonts w:ascii="Avenir Next" w:hAnsi="Avenir Next" w:cstheme="minorHAnsi"/>
          <w:sz w:val="22"/>
          <w:szCs w:val="22"/>
        </w:rPr>
        <w:t>low-income</w:t>
      </w:r>
      <w:r w:rsidR="009056B1" w:rsidRPr="00996DDA">
        <w:rPr>
          <w:rFonts w:ascii="Avenir Next" w:hAnsi="Avenir Next" w:cstheme="minorHAnsi"/>
          <w:sz w:val="22"/>
          <w:szCs w:val="22"/>
        </w:rPr>
        <w:t>.</w:t>
      </w:r>
      <w:r w:rsidR="005D2BF5" w:rsidRPr="00996DDA">
        <w:rPr>
          <w:rFonts w:ascii="Avenir Next" w:hAnsi="Avenir Next" w:cstheme="minorHAnsi"/>
          <w:sz w:val="22"/>
          <w:szCs w:val="22"/>
        </w:rPr>
        <w:t xml:space="preserve"> </w:t>
      </w:r>
      <w:r w:rsidR="004E4CAA">
        <w:rPr>
          <w:rFonts w:ascii="Avenir Next" w:hAnsi="Avenir Next" w:cstheme="minorHAnsi"/>
          <w:sz w:val="22"/>
          <w:szCs w:val="22"/>
        </w:rPr>
        <w:t xml:space="preserve">In addition, </w:t>
      </w:r>
      <w:r w:rsidR="00CE08C2">
        <w:rPr>
          <w:rFonts w:ascii="Avenir Next" w:hAnsi="Avenir Next" w:cstheme="minorHAnsi"/>
          <w:sz w:val="22"/>
          <w:szCs w:val="22"/>
        </w:rPr>
        <w:t xml:space="preserve">tuition charged to high school students for these courses varies greatly between </w:t>
      </w:r>
      <w:r w:rsidR="0094743A">
        <w:rPr>
          <w:rFonts w:ascii="Avenir Next" w:hAnsi="Avenir Next" w:cstheme="minorHAnsi"/>
          <w:sz w:val="22"/>
          <w:szCs w:val="22"/>
        </w:rPr>
        <w:t xml:space="preserve">different </w:t>
      </w:r>
      <w:r w:rsidR="00CE08C2">
        <w:rPr>
          <w:rFonts w:ascii="Avenir Next" w:hAnsi="Avenir Next" w:cstheme="minorHAnsi"/>
          <w:sz w:val="22"/>
          <w:szCs w:val="22"/>
        </w:rPr>
        <w:t xml:space="preserve">colleges and </w:t>
      </w:r>
      <w:r w:rsidR="0094743A">
        <w:rPr>
          <w:rFonts w:ascii="Avenir Next" w:hAnsi="Avenir Next" w:cstheme="minorHAnsi"/>
          <w:sz w:val="22"/>
          <w:szCs w:val="22"/>
        </w:rPr>
        <w:t>different programs at the same college.</w:t>
      </w:r>
      <w:r w:rsidR="00CE08C2">
        <w:rPr>
          <w:rFonts w:ascii="Avenir Next" w:hAnsi="Avenir Next" w:cstheme="minorHAnsi"/>
          <w:sz w:val="22"/>
          <w:szCs w:val="22"/>
        </w:rPr>
        <w:t xml:space="preserve"> </w:t>
      </w:r>
      <w:r w:rsidR="00102007">
        <w:rPr>
          <w:rFonts w:ascii="Avenir Next" w:hAnsi="Avenir Next" w:cstheme="minorHAnsi"/>
          <w:sz w:val="22"/>
          <w:szCs w:val="22"/>
        </w:rPr>
        <w:t>Through targeted investments in</w:t>
      </w:r>
      <w:r w:rsidR="003D569E">
        <w:rPr>
          <w:rFonts w:ascii="Avenir Next" w:hAnsi="Avenir Next" w:cstheme="minorHAnsi"/>
          <w:sz w:val="22"/>
          <w:szCs w:val="22"/>
        </w:rPr>
        <w:t xml:space="preserve"> need-based</w:t>
      </w:r>
      <w:r w:rsidR="00316985">
        <w:rPr>
          <w:rFonts w:ascii="Avenir Next" w:hAnsi="Avenir Next" w:cstheme="minorHAnsi"/>
          <w:sz w:val="22"/>
          <w:szCs w:val="22"/>
        </w:rPr>
        <w:t xml:space="preserve"> aid</w:t>
      </w:r>
      <w:r w:rsidR="00102007">
        <w:rPr>
          <w:rFonts w:ascii="Avenir Next" w:hAnsi="Avenir Next" w:cstheme="minorHAnsi"/>
          <w:sz w:val="22"/>
          <w:szCs w:val="22"/>
        </w:rPr>
        <w:t xml:space="preserve"> for these students</w:t>
      </w:r>
      <w:r w:rsidR="003D569E">
        <w:rPr>
          <w:rFonts w:ascii="Avenir Next" w:hAnsi="Avenir Next" w:cstheme="minorHAnsi"/>
          <w:sz w:val="22"/>
          <w:szCs w:val="22"/>
        </w:rPr>
        <w:t>,</w:t>
      </w:r>
      <w:r w:rsidR="003D569E" w:rsidRPr="00996DDA">
        <w:rPr>
          <w:rFonts w:ascii="Avenir Next" w:hAnsi="Avenir Next" w:cstheme="minorHAnsi"/>
          <w:sz w:val="22"/>
          <w:szCs w:val="22"/>
        </w:rPr>
        <w:t xml:space="preserve"> </w:t>
      </w:r>
      <w:r w:rsidR="003D569E">
        <w:rPr>
          <w:rFonts w:ascii="Avenir Next" w:hAnsi="Avenir Next" w:cstheme="minorHAnsi"/>
          <w:sz w:val="22"/>
          <w:szCs w:val="22"/>
        </w:rPr>
        <w:t>the state can</w:t>
      </w:r>
      <w:r w:rsidR="003D569E" w:rsidRPr="00996DDA">
        <w:rPr>
          <w:rFonts w:ascii="Avenir Next" w:hAnsi="Avenir Next" w:cstheme="minorHAnsi"/>
          <w:sz w:val="22"/>
          <w:szCs w:val="22"/>
        </w:rPr>
        <w:t xml:space="preserve"> </w:t>
      </w:r>
      <w:r w:rsidR="003D569E">
        <w:rPr>
          <w:rFonts w:ascii="Avenir Next" w:hAnsi="Avenir Next" w:cstheme="minorHAnsi"/>
          <w:sz w:val="22"/>
          <w:szCs w:val="22"/>
        </w:rPr>
        <w:t>ensure</w:t>
      </w:r>
      <w:r w:rsidR="003D569E" w:rsidRPr="00996DDA">
        <w:rPr>
          <w:rFonts w:ascii="Avenir Next" w:hAnsi="Avenir Next" w:cstheme="minorHAnsi"/>
          <w:sz w:val="22"/>
          <w:szCs w:val="22"/>
        </w:rPr>
        <w:t xml:space="preserve"> equitable opportunities for economically disadvantaged</w:t>
      </w:r>
      <w:r w:rsidR="003D569E" w:rsidRPr="00996DDA" w:rsidDel="00554061">
        <w:rPr>
          <w:rFonts w:ascii="Avenir Next" w:hAnsi="Avenir Next" w:cstheme="minorHAnsi"/>
          <w:sz w:val="22"/>
          <w:szCs w:val="22"/>
        </w:rPr>
        <w:t xml:space="preserve"> </w:t>
      </w:r>
      <w:r w:rsidR="003D569E">
        <w:rPr>
          <w:rFonts w:ascii="Avenir Next" w:hAnsi="Avenir Next" w:cstheme="minorHAnsi"/>
          <w:sz w:val="22"/>
          <w:szCs w:val="22"/>
        </w:rPr>
        <w:t xml:space="preserve">high school </w:t>
      </w:r>
      <w:r w:rsidR="003D569E" w:rsidRPr="00996DDA">
        <w:rPr>
          <w:rFonts w:ascii="Avenir Next" w:hAnsi="Avenir Next" w:cstheme="minorHAnsi"/>
          <w:sz w:val="22"/>
          <w:szCs w:val="22"/>
        </w:rPr>
        <w:t xml:space="preserve">students to enroll in </w:t>
      </w:r>
      <w:commentRangeStart w:id="9"/>
      <w:r w:rsidR="003D569E" w:rsidRPr="00996DDA">
        <w:rPr>
          <w:rFonts w:ascii="Avenir Next" w:hAnsi="Avenir Next" w:cstheme="minorHAnsi"/>
          <w:sz w:val="22"/>
          <w:szCs w:val="22"/>
        </w:rPr>
        <w:t>dual credit courses</w:t>
      </w:r>
      <w:commentRangeEnd w:id="9"/>
      <w:r w:rsidR="003D569E" w:rsidRPr="00996DDA">
        <w:rPr>
          <w:rStyle w:val="CommentReference"/>
          <w:rFonts w:ascii="Avenir Next" w:hAnsi="Avenir Next" w:cstheme="minorHAnsi"/>
          <w:sz w:val="22"/>
          <w:szCs w:val="22"/>
        </w:rPr>
        <w:commentReference w:id="9"/>
      </w:r>
      <w:r w:rsidR="003D569E">
        <w:rPr>
          <w:rFonts w:ascii="Avenir Next" w:hAnsi="Avenir Next" w:cstheme="minorHAnsi"/>
          <w:sz w:val="22"/>
          <w:szCs w:val="22"/>
        </w:rPr>
        <w:t>.</w:t>
      </w:r>
    </w:p>
    <w:p w14:paraId="539341A8" w14:textId="77777777" w:rsidR="00516BCE" w:rsidRPr="00C8009C" w:rsidRDefault="00516BCE" w:rsidP="00AD5535">
      <w:pPr>
        <w:rPr>
          <w:rFonts w:ascii="Avenir Next" w:hAnsi="Avenir Next" w:cstheme="minorHAnsi"/>
          <w:sz w:val="22"/>
          <w:szCs w:val="22"/>
        </w:rPr>
      </w:pPr>
    </w:p>
    <w:p w14:paraId="07949876" w14:textId="1887F332" w:rsidR="008D76C0" w:rsidRPr="002507D1" w:rsidRDefault="00516BCE" w:rsidP="002507D1">
      <w:pPr>
        <w:rPr>
          <w:rFonts w:ascii="Avenir Next" w:hAnsi="Avenir Next" w:cstheme="minorHAnsi"/>
          <w:sz w:val="22"/>
          <w:szCs w:val="22"/>
        </w:rPr>
      </w:pPr>
      <w:r w:rsidRPr="00C8009C">
        <w:rPr>
          <w:rFonts w:ascii="Avenir Next" w:hAnsi="Avenir Next" w:cstheme="minorHAnsi"/>
          <w:sz w:val="22"/>
          <w:szCs w:val="22"/>
        </w:rPr>
        <w:t xml:space="preserve">Finally, </w:t>
      </w:r>
      <w:r w:rsidR="003D569E">
        <w:rPr>
          <w:rFonts w:ascii="Avenir Next" w:hAnsi="Avenir Next" w:cstheme="minorHAnsi"/>
          <w:sz w:val="22"/>
          <w:szCs w:val="22"/>
        </w:rPr>
        <w:t xml:space="preserve">state leaders </w:t>
      </w:r>
      <w:r w:rsidR="007950C3">
        <w:rPr>
          <w:rFonts w:ascii="Avenir Next" w:hAnsi="Avenir Next" w:cstheme="minorHAnsi"/>
          <w:sz w:val="22"/>
          <w:szCs w:val="22"/>
        </w:rPr>
        <w:t>have</w:t>
      </w:r>
      <w:r w:rsidR="003D569E">
        <w:rPr>
          <w:rFonts w:ascii="Avenir Next" w:hAnsi="Avenir Next" w:cstheme="minorHAnsi"/>
          <w:sz w:val="22"/>
          <w:szCs w:val="22"/>
        </w:rPr>
        <w:t xml:space="preserve"> significant </w:t>
      </w:r>
      <w:r w:rsidR="007950C3">
        <w:rPr>
          <w:rFonts w:ascii="Avenir Next" w:hAnsi="Avenir Next" w:cstheme="minorHAnsi"/>
          <w:sz w:val="22"/>
          <w:szCs w:val="22"/>
        </w:rPr>
        <w:t>opportunities</w:t>
      </w:r>
      <w:r w:rsidRPr="00C8009C">
        <w:rPr>
          <w:rFonts w:ascii="Avenir Next" w:hAnsi="Avenir Next" w:cstheme="minorHAnsi"/>
          <w:sz w:val="22"/>
          <w:szCs w:val="22"/>
        </w:rPr>
        <w:t xml:space="preserve"> </w:t>
      </w:r>
      <w:r w:rsidR="007950C3">
        <w:rPr>
          <w:rFonts w:ascii="Avenir Next" w:hAnsi="Avenir Next" w:cstheme="minorHAnsi"/>
          <w:sz w:val="22"/>
          <w:szCs w:val="22"/>
        </w:rPr>
        <w:t xml:space="preserve">through </w:t>
      </w:r>
      <w:r w:rsidR="007950C3" w:rsidRPr="00C8009C">
        <w:rPr>
          <w:rFonts w:ascii="Avenir Next" w:hAnsi="Avenir Next" w:cstheme="minorHAnsi"/>
          <w:sz w:val="22"/>
          <w:szCs w:val="22"/>
        </w:rPr>
        <w:t>the TEOG program</w:t>
      </w:r>
      <w:r w:rsidR="007950C3">
        <w:rPr>
          <w:rFonts w:ascii="Avenir Next" w:hAnsi="Avenir Next" w:cstheme="minorHAnsi"/>
          <w:sz w:val="22"/>
          <w:szCs w:val="22"/>
        </w:rPr>
        <w:t xml:space="preserve"> to </w:t>
      </w:r>
      <w:r w:rsidR="00AD5535" w:rsidRPr="00C8009C">
        <w:rPr>
          <w:rFonts w:ascii="Avenir Next" w:hAnsi="Avenir Next" w:cstheme="minorHAnsi"/>
          <w:sz w:val="22"/>
          <w:szCs w:val="22"/>
        </w:rPr>
        <w:t xml:space="preserve">support </w:t>
      </w:r>
      <w:r w:rsidRPr="00C8009C">
        <w:rPr>
          <w:rFonts w:ascii="Avenir Next" w:hAnsi="Avenir Next" w:cstheme="minorHAnsi"/>
          <w:sz w:val="22"/>
          <w:szCs w:val="22"/>
        </w:rPr>
        <w:t>students in short-term workforce training programs, including</w:t>
      </w:r>
      <w:r w:rsidR="00AD5535" w:rsidRPr="00C8009C">
        <w:rPr>
          <w:rFonts w:ascii="Avenir Next" w:hAnsi="Avenir Next" w:cstheme="minorHAnsi"/>
          <w:sz w:val="22"/>
          <w:szCs w:val="22"/>
        </w:rPr>
        <w:t xml:space="preserve"> work-based </w:t>
      </w:r>
      <w:r w:rsidR="000F125B" w:rsidRPr="00C8009C">
        <w:rPr>
          <w:rFonts w:ascii="Avenir Next" w:hAnsi="Avenir Next" w:cstheme="minorHAnsi"/>
          <w:sz w:val="22"/>
          <w:szCs w:val="22"/>
        </w:rPr>
        <w:t>learning</w:t>
      </w:r>
      <w:r w:rsidR="00AD5535" w:rsidRPr="00C8009C">
        <w:rPr>
          <w:rFonts w:ascii="Avenir Next" w:hAnsi="Avenir Next" w:cstheme="minorHAnsi"/>
          <w:sz w:val="22"/>
          <w:szCs w:val="22"/>
        </w:rPr>
        <w:t xml:space="preserve"> </w:t>
      </w:r>
      <w:r w:rsidR="000F125B" w:rsidRPr="00C8009C">
        <w:rPr>
          <w:rFonts w:ascii="Avenir Next" w:hAnsi="Avenir Next" w:cstheme="minorHAnsi"/>
          <w:sz w:val="22"/>
          <w:szCs w:val="22"/>
        </w:rPr>
        <w:t>partnerships with employers, such as apprenticeships and internships.</w:t>
      </w:r>
    </w:p>
    <w:p w14:paraId="5C25EE76" w14:textId="698DFFA0" w:rsidR="00101590" w:rsidRPr="00996DDA" w:rsidRDefault="00101590" w:rsidP="00EB52C5">
      <w:pPr>
        <w:pStyle w:val="Heading1"/>
        <w:rPr>
          <w:rFonts w:ascii="Avenir Next" w:eastAsia="Avenir Next LT Pro" w:hAnsi="Avenir Next"/>
          <w:b/>
          <w:bCs/>
          <w:sz w:val="22"/>
          <w:szCs w:val="22"/>
        </w:rPr>
      </w:pPr>
      <w:bookmarkStart w:id="10" w:name="_Investments_in_College"/>
      <w:bookmarkEnd w:id="10"/>
      <w:r w:rsidRPr="00996DDA">
        <w:rPr>
          <w:rFonts w:ascii="Avenir Next" w:eastAsia="Avenir Next LT Pro" w:hAnsi="Avenir Next"/>
          <w:b/>
          <w:bCs/>
          <w:sz w:val="22"/>
          <w:szCs w:val="22"/>
        </w:rPr>
        <w:t>Investments in College Capacity</w:t>
      </w:r>
    </w:p>
    <w:p w14:paraId="6E374605" w14:textId="77777777" w:rsidR="00101590" w:rsidRPr="00996DDA" w:rsidRDefault="00101590" w:rsidP="00EB52C5">
      <w:pPr>
        <w:autoSpaceDE w:val="0"/>
        <w:autoSpaceDN w:val="0"/>
        <w:adjustRightInd w:val="0"/>
        <w:ind w:left="720"/>
        <w:rPr>
          <w:rFonts w:ascii="Avenir Next" w:eastAsia="Avenir Next LT Pro" w:hAnsi="Avenir Next" w:cstheme="minorHAnsi"/>
          <w:sz w:val="22"/>
          <w:szCs w:val="22"/>
        </w:rPr>
      </w:pPr>
    </w:p>
    <w:p w14:paraId="25A1C37E" w14:textId="2F7C222E" w:rsidR="00160944" w:rsidRPr="00996DDA" w:rsidRDefault="00574FA6" w:rsidP="00EB52C5">
      <w:pPr>
        <w:rPr>
          <w:rFonts w:ascii="Avenir Next" w:eastAsia="Avenir Next LT Pro" w:hAnsi="Avenir Next" w:cstheme="minorHAnsi"/>
          <w:color w:val="212529"/>
          <w:sz w:val="22"/>
          <w:szCs w:val="22"/>
        </w:rPr>
      </w:pPr>
      <w:r>
        <w:rPr>
          <w:rFonts w:ascii="Avenir Next" w:eastAsia="Avenir Next LT Pro" w:hAnsi="Avenir Next" w:cstheme="minorHAnsi"/>
          <w:color w:val="212529"/>
          <w:sz w:val="22"/>
          <w:szCs w:val="22"/>
        </w:rPr>
        <w:t>Today, c</w:t>
      </w:r>
      <w:r w:rsidR="00101590" w:rsidRPr="00996DDA">
        <w:rPr>
          <w:rFonts w:ascii="Avenir Next" w:eastAsia="Avenir Next LT Pro" w:hAnsi="Avenir Next" w:cstheme="minorHAnsi"/>
          <w:color w:val="212529"/>
          <w:sz w:val="22"/>
          <w:szCs w:val="22"/>
        </w:rPr>
        <w:t xml:space="preserve">ommunity colleges represent more than 40 percent of higher education enrollment across Texas. However, over the past decade, </w:t>
      </w:r>
      <w:r>
        <w:rPr>
          <w:rFonts w:ascii="Avenir Next" w:eastAsia="Avenir Next LT Pro" w:hAnsi="Avenir Next" w:cstheme="minorHAnsi"/>
          <w:color w:val="212529"/>
          <w:sz w:val="22"/>
          <w:szCs w:val="22"/>
        </w:rPr>
        <w:t xml:space="preserve">the growth in </w:t>
      </w:r>
      <w:r w:rsidR="00863254">
        <w:rPr>
          <w:rFonts w:ascii="Avenir Next" w:eastAsia="Avenir Next LT Pro" w:hAnsi="Avenir Next" w:cstheme="minorHAnsi"/>
          <w:color w:val="212529"/>
          <w:sz w:val="22"/>
          <w:szCs w:val="22"/>
        </w:rPr>
        <w:t>community college</w:t>
      </w:r>
      <w:r w:rsidR="00863254" w:rsidRPr="00996DDA">
        <w:rPr>
          <w:rFonts w:ascii="Avenir Next" w:eastAsia="Avenir Next LT Pro" w:hAnsi="Avenir Next" w:cstheme="minorHAnsi"/>
          <w:color w:val="212529"/>
          <w:sz w:val="22"/>
          <w:szCs w:val="22"/>
        </w:rPr>
        <w:t xml:space="preserve"> </w:t>
      </w:r>
      <w:commentRangeStart w:id="11"/>
      <w:r w:rsidR="00101590" w:rsidRPr="00996DDA">
        <w:rPr>
          <w:rFonts w:ascii="Avenir Next" w:eastAsia="Avenir Next LT Pro" w:hAnsi="Avenir Next" w:cstheme="minorHAnsi"/>
          <w:color w:val="212529"/>
          <w:sz w:val="22"/>
          <w:szCs w:val="22"/>
        </w:rPr>
        <w:t>enrollment</w:t>
      </w:r>
      <w:r w:rsidR="00863254">
        <w:rPr>
          <w:rFonts w:ascii="Avenir Next" w:eastAsia="Avenir Next LT Pro" w:hAnsi="Avenir Next" w:cstheme="minorHAnsi"/>
          <w:color w:val="212529"/>
          <w:sz w:val="22"/>
          <w:szCs w:val="22"/>
        </w:rPr>
        <w:t>s</w:t>
      </w:r>
      <w:r w:rsidR="00101590" w:rsidRPr="00996DDA">
        <w:rPr>
          <w:rFonts w:ascii="Avenir Next" w:eastAsia="Avenir Next LT Pro" w:hAnsi="Avenir Next" w:cstheme="minorHAnsi"/>
          <w:color w:val="212529"/>
          <w:sz w:val="22"/>
          <w:szCs w:val="22"/>
        </w:rPr>
        <w:t xml:space="preserve"> </w:t>
      </w:r>
      <w:commentRangeEnd w:id="11"/>
      <w:r w:rsidR="0039495C">
        <w:rPr>
          <w:rStyle w:val="CommentReference"/>
        </w:rPr>
        <w:commentReference w:id="11"/>
      </w:r>
      <w:r w:rsidR="00C62E00" w:rsidRPr="00996DDA">
        <w:rPr>
          <w:rFonts w:ascii="Avenir Next" w:eastAsia="Avenir Next LT Pro" w:hAnsi="Avenir Next" w:cstheme="minorHAnsi"/>
          <w:color w:val="212529"/>
          <w:sz w:val="22"/>
          <w:szCs w:val="22"/>
        </w:rPr>
        <w:t>ha</w:t>
      </w:r>
      <w:r>
        <w:rPr>
          <w:rFonts w:ascii="Avenir Next" w:eastAsia="Avenir Next LT Pro" w:hAnsi="Avenir Next" w:cstheme="minorHAnsi"/>
          <w:color w:val="212529"/>
          <w:sz w:val="22"/>
          <w:szCs w:val="22"/>
        </w:rPr>
        <w:t>s</w:t>
      </w:r>
      <w:r w:rsidR="00101590" w:rsidRPr="00996DDA">
        <w:rPr>
          <w:rFonts w:ascii="Avenir Next" w:eastAsia="Avenir Next LT Pro" w:hAnsi="Avenir Next" w:cstheme="minorHAnsi"/>
          <w:color w:val="212529"/>
          <w:sz w:val="22"/>
          <w:szCs w:val="22"/>
        </w:rPr>
        <w:t xml:space="preserve"> not kept pace with the state’s rapidly growing population </w:t>
      </w:r>
      <w:r w:rsidR="00863254">
        <w:rPr>
          <w:rFonts w:ascii="Avenir Next" w:eastAsia="Avenir Next LT Pro" w:hAnsi="Avenir Next" w:cstheme="minorHAnsi"/>
          <w:color w:val="212529"/>
          <w:sz w:val="22"/>
          <w:szCs w:val="22"/>
        </w:rPr>
        <w:t>and</w:t>
      </w:r>
      <w:r w:rsidR="00863254" w:rsidRPr="00996DDA">
        <w:rPr>
          <w:rFonts w:ascii="Avenir Next" w:eastAsia="Avenir Next LT Pro" w:hAnsi="Avenir Next" w:cstheme="minorHAnsi"/>
          <w:color w:val="212529"/>
          <w:sz w:val="22"/>
          <w:szCs w:val="22"/>
        </w:rPr>
        <w:t xml:space="preserve"> </w:t>
      </w:r>
      <w:r w:rsidR="00101590" w:rsidRPr="00996DDA">
        <w:rPr>
          <w:rFonts w:ascii="Avenir Next" w:eastAsia="Avenir Next LT Pro" w:hAnsi="Avenir Next" w:cstheme="minorHAnsi"/>
          <w:color w:val="212529"/>
          <w:sz w:val="22"/>
          <w:szCs w:val="22"/>
        </w:rPr>
        <w:t>accelerating changes in regional and state workforce needs.</w:t>
      </w:r>
      <w:r w:rsidR="00863254">
        <w:rPr>
          <w:rFonts w:ascii="Avenir Next" w:eastAsia="Avenir Next LT Pro" w:hAnsi="Avenir Next" w:cstheme="minorHAnsi"/>
          <w:color w:val="212529"/>
          <w:sz w:val="22"/>
          <w:szCs w:val="22"/>
        </w:rPr>
        <w:t xml:space="preserve"> </w:t>
      </w:r>
    </w:p>
    <w:p w14:paraId="476BCF8C" w14:textId="464998B8" w:rsidR="00C62E00" w:rsidRPr="00996DDA" w:rsidRDefault="00C62E00" w:rsidP="00EB52C5">
      <w:pPr>
        <w:rPr>
          <w:rFonts w:ascii="Avenir Next" w:eastAsia="Avenir Next LT Pro" w:hAnsi="Avenir Next" w:cstheme="minorHAnsi"/>
          <w:color w:val="212529"/>
          <w:sz w:val="22"/>
          <w:szCs w:val="22"/>
        </w:rPr>
      </w:pPr>
    </w:p>
    <w:p w14:paraId="314FE40C" w14:textId="74F045A0" w:rsidR="0039495C" w:rsidRDefault="00D35594" w:rsidP="00EB52C5">
      <w:pPr>
        <w:pStyle w:val="ListParagraph"/>
        <w:numPr>
          <w:ilvl w:val="0"/>
          <w:numId w:val="5"/>
        </w:numPr>
        <w:rPr>
          <w:rFonts w:ascii="Avenir Next" w:eastAsia="Avenir Next LT Pro" w:hAnsi="Avenir Next" w:cstheme="minorHAnsi"/>
          <w:color w:val="212529"/>
          <w:sz w:val="22"/>
          <w:szCs w:val="22"/>
        </w:rPr>
      </w:pPr>
      <w:r w:rsidRPr="00D35594">
        <w:rPr>
          <w:rFonts w:ascii="Avenir Next" w:eastAsia="Avenir Next LT Pro" w:hAnsi="Avenir Next" w:cstheme="minorHAnsi"/>
          <w:color w:val="212529"/>
          <w:sz w:val="22"/>
          <w:szCs w:val="22"/>
        </w:rPr>
        <w:t>Academic enrollments excluding dual credit declined by 100,728 from their peak in Fall 2011 to Fall 2021.</w:t>
      </w:r>
    </w:p>
    <w:p w14:paraId="674A3682" w14:textId="77777777" w:rsidR="00D35594" w:rsidRDefault="00D35594" w:rsidP="002030C4">
      <w:pPr>
        <w:pStyle w:val="ListParagraph"/>
        <w:rPr>
          <w:rFonts w:ascii="Avenir Next" w:eastAsia="Avenir Next LT Pro" w:hAnsi="Avenir Next" w:cstheme="minorHAnsi"/>
          <w:color w:val="212529"/>
          <w:sz w:val="22"/>
          <w:szCs w:val="22"/>
        </w:rPr>
      </w:pPr>
    </w:p>
    <w:p w14:paraId="76D0F1B0" w14:textId="42E6086C" w:rsidR="00C62E00" w:rsidRPr="00996DDA" w:rsidRDefault="00C62E00" w:rsidP="00EB52C5">
      <w:pPr>
        <w:pStyle w:val="ListParagraph"/>
        <w:numPr>
          <w:ilvl w:val="0"/>
          <w:numId w:val="5"/>
        </w:numPr>
        <w:rPr>
          <w:rFonts w:ascii="Avenir Next" w:eastAsia="Avenir Next LT Pro" w:hAnsi="Avenir Next" w:cstheme="minorHAnsi"/>
          <w:color w:val="212529"/>
          <w:sz w:val="22"/>
          <w:szCs w:val="22"/>
        </w:rPr>
      </w:pPr>
      <w:r w:rsidRPr="250C6544">
        <w:rPr>
          <w:rFonts w:ascii="Avenir Next" w:eastAsia="Avenir Next LT Pro" w:hAnsi="Avenir Next"/>
          <w:color w:val="212529"/>
          <w:sz w:val="22"/>
          <w:szCs w:val="22"/>
        </w:rPr>
        <w:t xml:space="preserve">Enrollment in workforce </w:t>
      </w:r>
      <w:r w:rsidR="00AC68AD" w:rsidRPr="250C6544">
        <w:rPr>
          <w:rFonts w:ascii="Avenir Next" w:eastAsia="Avenir Next LT Pro" w:hAnsi="Avenir Next"/>
          <w:color w:val="212529"/>
          <w:sz w:val="22"/>
          <w:szCs w:val="22"/>
        </w:rPr>
        <w:t xml:space="preserve">education </w:t>
      </w:r>
      <w:r w:rsidRPr="250C6544">
        <w:rPr>
          <w:rFonts w:ascii="Avenir Next" w:eastAsia="Avenir Next LT Pro" w:hAnsi="Avenir Next"/>
          <w:color w:val="212529"/>
          <w:sz w:val="22"/>
          <w:szCs w:val="22"/>
        </w:rPr>
        <w:t>programs</w:t>
      </w:r>
      <w:r w:rsidR="00AC68AD" w:rsidRPr="250C6544">
        <w:rPr>
          <w:rFonts w:ascii="Avenir Next" w:eastAsia="Avenir Next LT Pro" w:hAnsi="Avenir Next"/>
          <w:color w:val="212529"/>
          <w:sz w:val="22"/>
          <w:szCs w:val="22"/>
        </w:rPr>
        <w:t xml:space="preserve"> (excluding dual credit)</w:t>
      </w:r>
      <w:r w:rsidRPr="250C6544">
        <w:rPr>
          <w:rFonts w:ascii="Avenir Next" w:eastAsia="Avenir Next LT Pro" w:hAnsi="Avenir Next"/>
          <w:color w:val="212529"/>
          <w:sz w:val="22"/>
          <w:szCs w:val="22"/>
        </w:rPr>
        <w:t xml:space="preserve"> declined by 113,180 from a peak in Fall 2010 to Fall 2021. </w:t>
      </w:r>
    </w:p>
    <w:p w14:paraId="48D4EFC3" w14:textId="77777777" w:rsidR="00C62E00" w:rsidRPr="00996DDA" w:rsidRDefault="00C62E00" w:rsidP="00EB52C5">
      <w:pPr>
        <w:rPr>
          <w:rFonts w:ascii="Avenir Next" w:eastAsia="Avenir Next LT Pro" w:hAnsi="Avenir Next" w:cstheme="minorHAnsi"/>
          <w:color w:val="212529"/>
          <w:sz w:val="22"/>
          <w:szCs w:val="22"/>
        </w:rPr>
      </w:pPr>
    </w:p>
    <w:p w14:paraId="1074A86F" w14:textId="642E83C7" w:rsidR="00C62E00" w:rsidRPr="00996DDA" w:rsidRDefault="00C62E00" w:rsidP="00EB52C5">
      <w:pPr>
        <w:pStyle w:val="ListParagraph"/>
        <w:numPr>
          <w:ilvl w:val="0"/>
          <w:numId w:val="5"/>
        </w:numPr>
        <w:rPr>
          <w:rFonts w:ascii="Avenir Next" w:eastAsia="Avenir Next LT Pro" w:hAnsi="Avenir Next" w:cstheme="minorHAnsi"/>
          <w:color w:val="212529"/>
          <w:sz w:val="22"/>
          <w:szCs w:val="22"/>
        </w:rPr>
      </w:pPr>
      <w:r w:rsidRPr="250C6544">
        <w:rPr>
          <w:rFonts w:ascii="Avenir Next" w:eastAsia="Avenir Next LT Pro" w:hAnsi="Avenir Next"/>
          <w:color w:val="212529"/>
          <w:sz w:val="22"/>
          <w:szCs w:val="22"/>
        </w:rPr>
        <w:t xml:space="preserve">Only 17,000 community college students were enrolled in workforce-focused dual credit courses in Fall 2021, slightly more than 10 percent of all community college dual credit enrollments. </w:t>
      </w:r>
    </w:p>
    <w:p w14:paraId="2C7D14C3" w14:textId="55923A21" w:rsidR="00C62E00" w:rsidRPr="00996DDA" w:rsidRDefault="00C62E00" w:rsidP="00EB52C5">
      <w:pPr>
        <w:rPr>
          <w:rFonts w:ascii="Avenir Next" w:eastAsia="Avenir Next LT Pro" w:hAnsi="Avenir Next" w:cstheme="minorHAnsi"/>
          <w:color w:val="212529"/>
          <w:sz w:val="22"/>
          <w:szCs w:val="22"/>
        </w:rPr>
      </w:pPr>
    </w:p>
    <w:p w14:paraId="704BBF29" w14:textId="32E4CA27" w:rsidR="00C62E00" w:rsidRDefault="001C3CC0" w:rsidP="00EB52C5">
      <w:pPr>
        <w:rPr>
          <w:rFonts w:ascii="Avenir Next" w:eastAsia="Avenir Next LT Pro" w:hAnsi="Avenir Next" w:cstheme="minorHAnsi"/>
          <w:color w:val="212529"/>
          <w:sz w:val="22"/>
          <w:szCs w:val="22"/>
        </w:rPr>
      </w:pPr>
      <w:r>
        <w:rPr>
          <w:rFonts w:ascii="Avenir Next" w:eastAsia="Avenir Next LT Pro" w:hAnsi="Avenir Next" w:cstheme="minorHAnsi"/>
          <w:color w:val="212529"/>
          <w:sz w:val="22"/>
          <w:szCs w:val="22"/>
        </w:rPr>
        <w:t xml:space="preserve">As the majority of state funding to community colleges is </w:t>
      </w:r>
      <w:r w:rsidR="00AA6CBB">
        <w:rPr>
          <w:rFonts w:ascii="Avenir Next" w:eastAsia="Avenir Next LT Pro" w:hAnsi="Avenir Next" w:cstheme="minorHAnsi"/>
          <w:color w:val="212529"/>
          <w:sz w:val="22"/>
          <w:szCs w:val="22"/>
        </w:rPr>
        <w:t xml:space="preserve">currently </w:t>
      </w:r>
      <w:r>
        <w:rPr>
          <w:rFonts w:ascii="Avenir Next" w:eastAsia="Avenir Next LT Pro" w:hAnsi="Avenir Next" w:cstheme="minorHAnsi"/>
          <w:color w:val="212529"/>
          <w:sz w:val="22"/>
          <w:szCs w:val="22"/>
        </w:rPr>
        <w:t xml:space="preserve">allocated based on each college’s relative share of contact hours offered, </w:t>
      </w:r>
      <w:r w:rsidR="00574FA6">
        <w:rPr>
          <w:rFonts w:ascii="Avenir Next" w:eastAsia="Avenir Next LT Pro" w:hAnsi="Avenir Next" w:cstheme="minorHAnsi"/>
          <w:color w:val="212529"/>
          <w:sz w:val="22"/>
          <w:szCs w:val="22"/>
        </w:rPr>
        <w:t xml:space="preserve">individual </w:t>
      </w:r>
      <w:r>
        <w:rPr>
          <w:rFonts w:ascii="Avenir Next" w:eastAsia="Avenir Next LT Pro" w:hAnsi="Avenir Next" w:cstheme="minorHAnsi"/>
          <w:color w:val="212529"/>
          <w:sz w:val="22"/>
          <w:szCs w:val="22"/>
        </w:rPr>
        <w:t xml:space="preserve">colleges can actually increase enrollments yet receive less funding from the state. </w:t>
      </w:r>
      <w:r w:rsidR="00811CCF">
        <w:rPr>
          <w:rFonts w:ascii="Avenir Next" w:eastAsia="Avenir Next LT Pro" w:hAnsi="Avenir Next" w:cstheme="minorHAnsi"/>
          <w:color w:val="212529"/>
          <w:sz w:val="22"/>
          <w:szCs w:val="22"/>
        </w:rPr>
        <w:t xml:space="preserve">A new </w:t>
      </w:r>
      <w:r w:rsidR="00574FA6">
        <w:rPr>
          <w:rFonts w:ascii="Avenir Next" w:eastAsia="Avenir Next LT Pro" w:hAnsi="Avenir Next" w:cstheme="minorHAnsi"/>
          <w:color w:val="212529"/>
          <w:sz w:val="22"/>
          <w:szCs w:val="22"/>
        </w:rPr>
        <w:t xml:space="preserve">funding </w:t>
      </w:r>
      <w:r w:rsidR="00811CCF">
        <w:rPr>
          <w:rFonts w:ascii="Avenir Next" w:eastAsia="Avenir Next LT Pro" w:hAnsi="Avenir Next" w:cstheme="minorHAnsi"/>
          <w:color w:val="212529"/>
          <w:sz w:val="22"/>
          <w:szCs w:val="22"/>
        </w:rPr>
        <w:t>model can provide</w:t>
      </w:r>
      <w:r w:rsidR="00574FA6">
        <w:rPr>
          <w:rFonts w:ascii="Avenir Next" w:eastAsia="Avenir Next LT Pro" w:hAnsi="Avenir Next" w:cstheme="minorHAnsi"/>
          <w:color w:val="212529"/>
          <w:sz w:val="22"/>
          <w:szCs w:val="22"/>
        </w:rPr>
        <w:t xml:space="preserve"> clearer</w:t>
      </w:r>
      <w:r w:rsidR="00C62E00" w:rsidRPr="00996DDA">
        <w:rPr>
          <w:rFonts w:ascii="Avenir Next" w:eastAsia="Avenir Next LT Pro" w:hAnsi="Avenir Next" w:cstheme="minorHAnsi"/>
          <w:color w:val="212529"/>
          <w:sz w:val="22"/>
          <w:szCs w:val="22"/>
        </w:rPr>
        <w:t xml:space="preserve"> incentives </w:t>
      </w:r>
      <w:r w:rsidR="000F125B" w:rsidRPr="00996DDA">
        <w:rPr>
          <w:rFonts w:ascii="Avenir Next" w:eastAsia="Avenir Next LT Pro" w:hAnsi="Avenir Next" w:cstheme="minorHAnsi"/>
          <w:color w:val="212529"/>
          <w:sz w:val="22"/>
          <w:szCs w:val="22"/>
        </w:rPr>
        <w:t>for colleges</w:t>
      </w:r>
      <w:r w:rsidR="00811CCF">
        <w:rPr>
          <w:rFonts w:ascii="Avenir Next" w:eastAsia="Avenir Next LT Pro" w:hAnsi="Avenir Next" w:cstheme="minorHAnsi"/>
          <w:color w:val="212529"/>
          <w:sz w:val="22"/>
          <w:szCs w:val="22"/>
        </w:rPr>
        <w:t xml:space="preserve"> </w:t>
      </w:r>
      <w:r w:rsidR="00E505C6">
        <w:rPr>
          <w:rFonts w:ascii="Avenir Next" w:eastAsia="Avenir Next LT Pro" w:hAnsi="Avenir Next" w:cstheme="minorHAnsi"/>
          <w:color w:val="212529"/>
          <w:sz w:val="22"/>
          <w:szCs w:val="22"/>
        </w:rPr>
        <w:t>—</w:t>
      </w:r>
      <w:r w:rsidR="00811CCF" w:rsidRPr="00811CCF">
        <w:rPr>
          <w:rFonts w:ascii="Avenir Next" w:eastAsia="Avenir Next LT Pro" w:hAnsi="Avenir Next" w:cstheme="minorHAnsi"/>
          <w:color w:val="212529"/>
          <w:sz w:val="22"/>
          <w:szCs w:val="22"/>
        </w:rPr>
        <w:t xml:space="preserve"> </w:t>
      </w:r>
      <w:r w:rsidR="00811CCF">
        <w:rPr>
          <w:rFonts w:ascii="Avenir Next" w:eastAsia="Avenir Next LT Pro" w:hAnsi="Avenir Next" w:cstheme="minorHAnsi"/>
          <w:color w:val="212529"/>
          <w:sz w:val="22"/>
          <w:szCs w:val="22"/>
        </w:rPr>
        <w:t>especially rural-serving</w:t>
      </w:r>
      <w:r w:rsidR="00811CCF" w:rsidRPr="00996DDA">
        <w:rPr>
          <w:rFonts w:ascii="Avenir Next" w:eastAsia="Avenir Next LT Pro" w:hAnsi="Avenir Next" w:cstheme="minorHAnsi"/>
          <w:color w:val="212529"/>
          <w:sz w:val="22"/>
          <w:szCs w:val="22"/>
        </w:rPr>
        <w:t xml:space="preserve"> colleges and </w:t>
      </w:r>
      <w:r w:rsidR="00811CCF">
        <w:rPr>
          <w:rFonts w:ascii="Avenir Next" w:eastAsia="Avenir Next LT Pro" w:hAnsi="Avenir Next" w:cstheme="minorHAnsi"/>
          <w:color w:val="212529"/>
          <w:sz w:val="22"/>
          <w:szCs w:val="22"/>
        </w:rPr>
        <w:t>those</w:t>
      </w:r>
      <w:r w:rsidR="00811CCF" w:rsidRPr="00996DDA">
        <w:rPr>
          <w:rFonts w:ascii="Avenir Next" w:eastAsia="Avenir Next LT Pro" w:hAnsi="Avenir Next" w:cstheme="minorHAnsi"/>
          <w:color w:val="212529"/>
          <w:sz w:val="22"/>
          <w:szCs w:val="22"/>
        </w:rPr>
        <w:t xml:space="preserve"> with smaller property tax bases</w:t>
      </w:r>
      <w:r w:rsidR="000F125B" w:rsidRPr="00996DDA">
        <w:rPr>
          <w:rFonts w:ascii="Avenir Next" w:eastAsia="Avenir Next LT Pro" w:hAnsi="Avenir Next" w:cstheme="minorHAnsi"/>
          <w:color w:val="212529"/>
          <w:sz w:val="22"/>
          <w:szCs w:val="22"/>
        </w:rPr>
        <w:t xml:space="preserve"> </w:t>
      </w:r>
      <w:r w:rsidR="00811CCF">
        <w:rPr>
          <w:rFonts w:ascii="Avenir Next" w:eastAsia="Avenir Next LT Pro" w:hAnsi="Avenir Next" w:cstheme="minorHAnsi"/>
          <w:color w:val="212529"/>
          <w:sz w:val="22"/>
          <w:szCs w:val="22"/>
        </w:rPr>
        <w:t xml:space="preserve">— </w:t>
      </w:r>
      <w:r w:rsidR="000F125B" w:rsidRPr="00996DDA">
        <w:rPr>
          <w:rFonts w:ascii="Avenir Next" w:eastAsia="Avenir Next LT Pro" w:hAnsi="Avenir Next" w:cstheme="minorHAnsi"/>
          <w:color w:val="212529"/>
          <w:sz w:val="22"/>
          <w:szCs w:val="22"/>
        </w:rPr>
        <w:t>to increase</w:t>
      </w:r>
      <w:r w:rsidR="00BE1E6C" w:rsidRPr="00996DDA">
        <w:rPr>
          <w:rFonts w:ascii="Avenir Next" w:eastAsia="Avenir Next LT Pro" w:hAnsi="Avenir Next" w:cstheme="minorHAnsi"/>
          <w:color w:val="212529"/>
          <w:sz w:val="22"/>
          <w:szCs w:val="22"/>
        </w:rPr>
        <w:t xml:space="preserve"> enrollment</w:t>
      </w:r>
      <w:r w:rsidR="004D56B5">
        <w:rPr>
          <w:rFonts w:ascii="Avenir Next" w:eastAsia="Avenir Next LT Pro" w:hAnsi="Avenir Next" w:cstheme="minorHAnsi"/>
          <w:color w:val="212529"/>
          <w:sz w:val="22"/>
          <w:szCs w:val="22"/>
        </w:rPr>
        <w:t xml:space="preserve"> </w:t>
      </w:r>
      <w:r w:rsidR="00360269">
        <w:rPr>
          <w:rFonts w:ascii="Avenir Next" w:eastAsia="Avenir Next LT Pro" w:hAnsi="Avenir Next" w:cstheme="minorHAnsi"/>
          <w:color w:val="212529"/>
          <w:sz w:val="22"/>
          <w:szCs w:val="22"/>
        </w:rPr>
        <w:t xml:space="preserve">in high-cost or high-demand </w:t>
      </w:r>
      <w:r w:rsidR="00E505C6">
        <w:rPr>
          <w:rFonts w:ascii="Avenir Next" w:eastAsia="Avenir Next LT Pro" w:hAnsi="Avenir Next" w:cstheme="minorHAnsi"/>
          <w:color w:val="212529"/>
          <w:sz w:val="22"/>
          <w:szCs w:val="22"/>
        </w:rPr>
        <w:t>fields</w:t>
      </w:r>
      <w:r w:rsidR="00360269">
        <w:rPr>
          <w:rFonts w:ascii="Avenir Next" w:eastAsia="Avenir Next LT Pro" w:hAnsi="Avenir Next" w:cstheme="minorHAnsi"/>
          <w:color w:val="212529"/>
          <w:sz w:val="22"/>
          <w:szCs w:val="22"/>
        </w:rPr>
        <w:t xml:space="preserve">, </w:t>
      </w:r>
      <w:r w:rsidR="00CD1A22">
        <w:rPr>
          <w:rFonts w:ascii="Avenir Next" w:eastAsia="Avenir Next LT Pro" w:hAnsi="Avenir Next" w:cstheme="minorHAnsi"/>
          <w:color w:val="212529"/>
          <w:sz w:val="22"/>
          <w:szCs w:val="22"/>
        </w:rPr>
        <w:t xml:space="preserve">develop new capacity </w:t>
      </w:r>
      <w:r w:rsidR="008B5A6A">
        <w:rPr>
          <w:rFonts w:ascii="Avenir Next" w:eastAsia="Avenir Next LT Pro" w:hAnsi="Avenir Next" w:cstheme="minorHAnsi"/>
          <w:color w:val="212529"/>
          <w:sz w:val="22"/>
          <w:szCs w:val="22"/>
        </w:rPr>
        <w:t xml:space="preserve">to offer programs </w:t>
      </w:r>
      <w:r w:rsidR="00CD1A22">
        <w:rPr>
          <w:rFonts w:ascii="Avenir Next" w:eastAsia="Avenir Next LT Pro" w:hAnsi="Avenir Next" w:cstheme="minorHAnsi"/>
          <w:color w:val="212529"/>
          <w:sz w:val="22"/>
          <w:szCs w:val="22"/>
        </w:rPr>
        <w:t xml:space="preserve">in </w:t>
      </w:r>
      <w:r w:rsidR="00360269">
        <w:rPr>
          <w:rFonts w:ascii="Avenir Next" w:eastAsia="Avenir Next LT Pro" w:hAnsi="Avenir Next" w:cstheme="minorHAnsi"/>
          <w:color w:val="212529"/>
          <w:sz w:val="22"/>
          <w:szCs w:val="22"/>
        </w:rPr>
        <w:t>those</w:t>
      </w:r>
      <w:r w:rsidR="00811CCF">
        <w:rPr>
          <w:rFonts w:ascii="Avenir Next" w:eastAsia="Avenir Next LT Pro" w:hAnsi="Avenir Next" w:cstheme="minorHAnsi"/>
          <w:color w:val="212529"/>
          <w:sz w:val="22"/>
          <w:szCs w:val="22"/>
        </w:rPr>
        <w:t xml:space="preserve"> </w:t>
      </w:r>
      <w:r w:rsidR="00CD1A22">
        <w:rPr>
          <w:rFonts w:ascii="Avenir Next" w:eastAsia="Avenir Next LT Pro" w:hAnsi="Avenir Next" w:cstheme="minorHAnsi"/>
          <w:color w:val="212529"/>
          <w:sz w:val="22"/>
          <w:szCs w:val="22"/>
        </w:rPr>
        <w:t xml:space="preserve">fields, </w:t>
      </w:r>
      <w:r w:rsidR="00811CCF">
        <w:rPr>
          <w:rFonts w:ascii="Avenir Next" w:eastAsia="Avenir Next LT Pro" w:hAnsi="Avenir Next" w:cstheme="minorHAnsi"/>
          <w:color w:val="212529"/>
          <w:sz w:val="22"/>
          <w:szCs w:val="22"/>
        </w:rPr>
        <w:t xml:space="preserve">and </w:t>
      </w:r>
      <w:r w:rsidR="00CD1A22">
        <w:rPr>
          <w:rFonts w:ascii="Avenir Next" w:eastAsia="Avenir Next LT Pro" w:hAnsi="Avenir Next" w:cstheme="minorHAnsi"/>
          <w:color w:val="212529"/>
          <w:sz w:val="22"/>
          <w:szCs w:val="22"/>
        </w:rPr>
        <w:t xml:space="preserve">work collaboratively </w:t>
      </w:r>
      <w:r w:rsidR="000F125B" w:rsidRPr="00996DDA">
        <w:rPr>
          <w:rFonts w:ascii="Avenir Next" w:eastAsia="Avenir Next LT Pro" w:hAnsi="Avenir Next" w:cstheme="minorHAnsi"/>
          <w:color w:val="212529"/>
          <w:sz w:val="22"/>
          <w:szCs w:val="22"/>
        </w:rPr>
        <w:t xml:space="preserve">to </w:t>
      </w:r>
      <w:r w:rsidR="006C71F5" w:rsidRPr="00996DDA">
        <w:rPr>
          <w:rFonts w:ascii="Avenir Next" w:eastAsia="Avenir Next LT Pro" w:hAnsi="Avenir Next" w:cstheme="minorHAnsi"/>
          <w:color w:val="212529"/>
          <w:sz w:val="22"/>
          <w:szCs w:val="22"/>
        </w:rPr>
        <w:t>meet</w:t>
      </w:r>
      <w:r w:rsidR="00C62E00" w:rsidRPr="00996DDA">
        <w:rPr>
          <w:rFonts w:ascii="Avenir Next" w:eastAsia="Avenir Next LT Pro" w:hAnsi="Avenir Next" w:cstheme="minorHAnsi"/>
          <w:color w:val="212529"/>
          <w:sz w:val="22"/>
          <w:szCs w:val="22"/>
        </w:rPr>
        <w:t xml:space="preserve"> regional and state workforce needs</w:t>
      </w:r>
      <w:r w:rsidR="006C71F5" w:rsidRPr="00996DDA">
        <w:rPr>
          <w:rFonts w:ascii="Avenir Next" w:eastAsia="Avenir Next LT Pro" w:hAnsi="Avenir Next" w:cstheme="minorHAnsi"/>
          <w:color w:val="212529"/>
          <w:sz w:val="22"/>
          <w:szCs w:val="22"/>
        </w:rPr>
        <w:t>.</w:t>
      </w:r>
      <w:r w:rsidR="00C62E00" w:rsidRPr="00996DDA">
        <w:rPr>
          <w:rFonts w:ascii="Avenir Next" w:eastAsia="Avenir Next LT Pro" w:hAnsi="Avenir Next" w:cstheme="minorHAnsi"/>
          <w:color w:val="212529"/>
          <w:sz w:val="22"/>
          <w:szCs w:val="22"/>
        </w:rPr>
        <w:t xml:space="preserve"> </w:t>
      </w:r>
    </w:p>
    <w:p w14:paraId="585019F6" w14:textId="3A58DF83" w:rsidR="005D2BF5" w:rsidRPr="00996DDA" w:rsidRDefault="005D2BF5" w:rsidP="00EB52C5">
      <w:pPr>
        <w:rPr>
          <w:rFonts w:ascii="Avenir Next" w:hAnsi="Avenir Next"/>
          <w:sz w:val="22"/>
          <w:szCs w:val="22"/>
        </w:rPr>
      </w:pPr>
      <w:bookmarkStart w:id="12" w:name="_Longer-term_Funding_Challenges"/>
      <w:bookmarkEnd w:id="12"/>
    </w:p>
    <w:p w14:paraId="70EE497C" w14:textId="369CFD2A" w:rsidR="005D2BF5" w:rsidRPr="00996DDA" w:rsidRDefault="005D2BF5" w:rsidP="00EB52C5">
      <w:pPr>
        <w:pStyle w:val="Heading1"/>
        <w:rPr>
          <w:rFonts w:ascii="Avenir Next" w:hAnsi="Avenir Next"/>
          <w:b/>
          <w:bCs/>
          <w:sz w:val="22"/>
          <w:szCs w:val="22"/>
        </w:rPr>
      </w:pPr>
      <w:bookmarkStart w:id="13" w:name="_TXCCCF’s_Mission_and"/>
      <w:bookmarkEnd w:id="13"/>
      <w:r w:rsidRPr="00996DDA">
        <w:rPr>
          <w:rFonts w:ascii="Avenir Next" w:hAnsi="Avenir Next"/>
          <w:b/>
          <w:bCs/>
          <w:sz w:val="22"/>
          <w:szCs w:val="22"/>
        </w:rPr>
        <w:t xml:space="preserve">TXCCCF’s </w:t>
      </w:r>
      <w:r w:rsidR="009266BE" w:rsidRPr="00996DDA">
        <w:rPr>
          <w:rFonts w:ascii="Avenir Next" w:hAnsi="Avenir Next"/>
          <w:b/>
          <w:bCs/>
          <w:sz w:val="22"/>
          <w:szCs w:val="22"/>
        </w:rPr>
        <w:t>Mission</w:t>
      </w:r>
      <w:r w:rsidR="00181D9D" w:rsidRPr="00996DDA">
        <w:rPr>
          <w:rFonts w:ascii="Avenir Next" w:hAnsi="Avenir Next"/>
          <w:b/>
          <w:bCs/>
          <w:sz w:val="22"/>
          <w:szCs w:val="22"/>
        </w:rPr>
        <w:t xml:space="preserve"> </w:t>
      </w:r>
      <w:r w:rsidR="00F01085" w:rsidRPr="00996DDA">
        <w:rPr>
          <w:rFonts w:ascii="Avenir Next" w:hAnsi="Avenir Next"/>
          <w:b/>
          <w:bCs/>
          <w:sz w:val="22"/>
          <w:szCs w:val="22"/>
        </w:rPr>
        <w:t xml:space="preserve">and </w:t>
      </w:r>
      <w:r w:rsidR="00996DDA" w:rsidRPr="00996DDA">
        <w:rPr>
          <w:rFonts w:ascii="Avenir Next" w:hAnsi="Avenir Next"/>
          <w:b/>
          <w:bCs/>
          <w:sz w:val="22"/>
          <w:szCs w:val="22"/>
        </w:rPr>
        <w:t>Commitment to Listen</w:t>
      </w:r>
    </w:p>
    <w:p w14:paraId="5F1B689D" w14:textId="39893B15" w:rsidR="00D466F3" w:rsidRPr="00996DDA" w:rsidRDefault="00D466F3" w:rsidP="00EB52C5">
      <w:pPr>
        <w:rPr>
          <w:rFonts w:ascii="Avenir Next" w:hAnsi="Avenir Next"/>
          <w:sz w:val="22"/>
          <w:szCs w:val="22"/>
        </w:rPr>
      </w:pPr>
    </w:p>
    <w:p w14:paraId="0E6A70D0" w14:textId="044DBA4D" w:rsidR="009266BE" w:rsidRPr="00996DDA" w:rsidRDefault="00811CCF" w:rsidP="00EB52C5">
      <w:pPr>
        <w:rPr>
          <w:rFonts w:ascii="Avenir Next" w:hAnsi="Avenir Next"/>
          <w:sz w:val="22"/>
          <w:szCs w:val="22"/>
        </w:rPr>
      </w:pPr>
      <w:r w:rsidRPr="00ED6CA6">
        <w:rPr>
          <w:rFonts w:ascii="Avenir Next" w:hAnsi="Avenir Next" w:cs="Calibri"/>
          <w:color w:val="000000"/>
          <w:sz w:val="22"/>
          <w:szCs w:val="22"/>
        </w:rPr>
        <w:t>Recognizing</w:t>
      </w:r>
      <w:r w:rsidR="00EA714B" w:rsidRPr="00ED6CA6">
        <w:rPr>
          <w:rFonts w:ascii="Avenir Next" w:hAnsi="Avenir Next" w:cs="Calibri"/>
          <w:color w:val="000000"/>
          <w:sz w:val="22"/>
          <w:szCs w:val="22"/>
        </w:rPr>
        <w:t xml:space="preserve"> that </w:t>
      </w:r>
      <w:r w:rsidR="00F8474F">
        <w:rPr>
          <w:rFonts w:ascii="Avenir Next" w:hAnsi="Avenir Next" w:cs="Calibri"/>
          <w:color w:val="000000"/>
          <w:sz w:val="22"/>
          <w:szCs w:val="22"/>
        </w:rPr>
        <w:t xml:space="preserve">the needs and goals for </w:t>
      </w:r>
      <w:r w:rsidR="003E139D">
        <w:rPr>
          <w:rFonts w:ascii="Avenir Next" w:hAnsi="Avenir Next" w:cs="Calibri"/>
          <w:color w:val="000000"/>
          <w:sz w:val="22"/>
          <w:szCs w:val="22"/>
        </w:rPr>
        <w:t>community colleges today differ from</w:t>
      </w:r>
      <w:r w:rsidR="00EA714B" w:rsidRPr="000F2997">
        <w:rPr>
          <w:rFonts w:ascii="Avenir Next" w:hAnsi="Avenir Next" w:cs="Calibri"/>
          <w:color w:val="000000"/>
          <w:sz w:val="22"/>
          <w:szCs w:val="22"/>
        </w:rPr>
        <w:t xml:space="preserve"> when the current </w:t>
      </w:r>
      <w:r w:rsidR="00F8474F">
        <w:rPr>
          <w:rFonts w:ascii="Avenir Next" w:hAnsi="Avenir Next" w:cs="Calibri"/>
          <w:color w:val="000000"/>
          <w:sz w:val="22"/>
          <w:szCs w:val="22"/>
        </w:rPr>
        <w:t xml:space="preserve">funding </w:t>
      </w:r>
      <w:r w:rsidR="00EA714B" w:rsidRPr="00ED6CA6">
        <w:rPr>
          <w:rFonts w:ascii="Avenir Next" w:hAnsi="Avenir Next" w:cs="Calibri"/>
          <w:color w:val="000000"/>
          <w:sz w:val="22"/>
          <w:szCs w:val="22"/>
        </w:rPr>
        <w:t xml:space="preserve">model </w:t>
      </w:r>
      <w:r w:rsidR="00F8474F">
        <w:rPr>
          <w:rFonts w:ascii="Avenir Next" w:hAnsi="Avenir Next" w:cs="Calibri"/>
          <w:color w:val="000000"/>
          <w:sz w:val="22"/>
          <w:szCs w:val="22"/>
        </w:rPr>
        <w:t>was established</w:t>
      </w:r>
      <w:r w:rsidRPr="000F2997">
        <w:rPr>
          <w:rFonts w:ascii="Avenir Next" w:hAnsi="Avenir Next" w:cs="Calibri"/>
          <w:color w:val="000000"/>
          <w:sz w:val="22"/>
          <w:szCs w:val="22"/>
        </w:rPr>
        <w:t>,</w:t>
      </w:r>
      <w:r w:rsidR="00EA714B">
        <w:rPr>
          <w:rFonts w:ascii="Calibri" w:hAnsi="Calibri" w:cs="Calibri"/>
          <w:color w:val="000000"/>
          <w:sz w:val="22"/>
          <w:szCs w:val="22"/>
        </w:rPr>
        <w:t xml:space="preserve"> </w:t>
      </w:r>
      <w:r w:rsidR="00D466F3" w:rsidRPr="00996DDA">
        <w:rPr>
          <w:rFonts w:ascii="Avenir Next" w:hAnsi="Avenir Next"/>
          <w:sz w:val="22"/>
          <w:szCs w:val="22"/>
        </w:rPr>
        <w:t xml:space="preserve">the </w:t>
      </w:r>
      <w:r w:rsidR="00FD6B13" w:rsidRPr="00996DDA">
        <w:rPr>
          <w:rFonts w:ascii="Avenir Next" w:hAnsi="Avenir Next"/>
          <w:sz w:val="22"/>
          <w:szCs w:val="22"/>
        </w:rPr>
        <w:t>87</w:t>
      </w:r>
      <w:r w:rsidR="00FD6B13" w:rsidRPr="00996DDA">
        <w:rPr>
          <w:rFonts w:ascii="Avenir Next" w:hAnsi="Avenir Next"/>
          <w:sz w:val="22"/>
          <w:szCs w:val="22"/>
          <w:vertAlign w:val="superscript"/>
        </w:rPr>
        <w:t>th</w:t>
      </w:r>
      <w:r w:rsidR="00FD6B13" w:rsidRPr="00996DDA">
        <w:rPr>
          <w:rFonts w:ascii="Avenir Next" w:hAnsi="Avenir Next"/>
          <w:sz w:val="22"/>
          <w:szCs w:val="22"/>
        </w:rPr>
        <w:t xml:space="preserve"> </w:t>
      </w:r>
      <w:r w:rsidR="00D466F3" w:rsidRPr="00996DDA">
        <w:rPr>
          <w:rFonts w:ascii="Avenir Next" w:hAnsi="Avenir Next"/>
          <w:sz w:val="22"/>
          <w:szCs w:val="22"/>
        </w:rPr>
        <w:t xml:space="preserve">Texas </w:t>
      </w:r>
      <w:r w:rsidR="008B71EA" w:rsidRPr="00996DDA">
        <w:rPr>
          <w:rFonts w:ascii="Avenir Next" w:hAnsi="Avenir Next"/>
          <w:sz w:val="22"/>
          <w:szCs w:val="22"/>
        </w:rPr>
        <w:t>L</w:t>
      </w:r>
      <w:r w:rsidR="00D466F3" w:rsidRPr="00996DDA">
        <w:rPr>
          <w:rFonts w:ascii="Avenir Next" w:hAnsi="Avenir Next"/>
          <w:sz w:val="22"/>
          <w:szCs w:val="22"/>
        </w:rPr>
        <w:t>egislature</w:t>
      </w:r>
      <w:r w:rsidR="005D2BF5" w:rsidRPr="00996DDA">
        <w:rPr>
          <w:rFonts w:ascii="Avenir Next" w:hAnsi="Avenir Next"/>
          <w:sz w:val="22"/>
          <w:szCs w:val="22"/>
        </w:rPr>
        <w:t xml:space="preserve"> </w:t>
      </w:r>
      <w:r w:rsidR="00F93C05" w:rsidRPr="00996DDA">
        <w:rPr>
          <w:rFonts w:ascii="Avenir Next" w:hAnsi="Avenir Next"/>
          <w:sz w:val="22"/>
          <w:szCs w:val="22"/>
        </w:rPr>
        <w:t>established the</w:t>
      </w:r>
      <w:r w:rsidR="00F8474F">
        <w:rPr>
          <w:rFonts w:ascii="Avenir Next" w:hAnsi="Avenir Next"/>
          <w:sz w:val="22"/>
          <w:szCs w:val="22"/>
        </w:rPr>
        <w:t xml:space="preserve"> </w:t>
      </w:r>
      <w:r w:rsidR="000F2997">
        <w:rPr>
          <w:rFonts w:ascii="Avenir Next" w:hAnsi="Avenir Next"/>
          <w:sz w:val="22"/>
          <w:szCs w:val="22"/>
        </w:rPr>
        <w:t xml:space="preserve">Commission on </w:t>
      </w:r>
      <w:r w:rsidR="00F8474F">
        <w:rPr>
          <w:rFonts w:ascii="Avenir Next" w:hAnsi="Avenir Next"/>
          <w:sz w:val="22"/>
          <w:szCs w:val="22"/>
        </w:rPr>
        <w:t>Community College Finance</w:t>
      </w:r>
      <w:r w:rsidR="00F93C05" w:rsidRPr="00996DDA">
        <w:rPr>
          <w:rFonts w:ascii="Avenir Next" w:hAnsi="Avenir Next"/>
          <w:sz w:val="22"/>
          <w:szCs w:val="22"/>
        </w:rPr>
        <w:t xml:space="preserve"> </w:t>
      </w:r>
      <w:r w:rsidR="005D2BF5" w:rsidRPr="00996DDA">
        <w:rPr>
          <w:rFonts w:ascii="Avenir Next" w:hAnsi="Avenir Next"/>
          <w:sz w:val="22"/>
          <w:szCs w:val="22"/>
        </w:rPr>
        <w:t>through Senate Bill 1230, which was signed into law by Gov</w:t>
      </w:r>
      <w:r w:rsidR="00F8474F">
        <w:rPr>
          <w:rFonts w:ascii="Avenir Next" w:hAnsi="Avenir Next"/>
          <w:sz w:val="22"/>
          <w:szCs w:val="22"/>
        </w:rPr>
        <w:t>ernor</w:t>
      </w:r>
      <w:r w:rsidR="005D2BF5" w:rsidRPr="00996DDA">
        <w:rPr>
          <w:rFonts w:ascii="Avenir Next" w:hAnsi="Avenir Next"/>
          <w:sz w:val="22"/>
          <w:szCs w:val="22"/>
        </w:rPr>
        <w:t xml:space="preserve"> Greg Abbott</w:t>
      </w:r>
      <w:r w:rsidR="002C3CD4" w:rsidRPr="00996DDA">
        <w:rPr>
          <w:rFonts w:ascii="Avenir Next" w:hAnsi="Avenir Next"/>
          <w:sz w:val="22"/>
          <w:szCs w:val="22"/>
        </w:rPr>
        <w:t xml:space="preserve">. The law empowered </w:t>
      </w:r>
      <w:r w:rsidR="00297A59">
        <w:rPr>
          <w:rFonts w:ascii="Avenir Next" w:hAnsi="Avenir Next"/>
          <w:sz w:val="22"/>
          <w:szCs w:val="22"/>
        </w:rPr>
        <w:t>the Commission</w:t>
      </w:r>
      <w:r w:rsidR="009266BE" w:rsidRPr="00996DDA">
        <w:rPr>
          <w:rFonts w:ascii="Avenir Next" w:hAnsi="Avenir Next"/>
          <w:sz w:val="22"/>
          <w:szCs w:val="22"/>
        </w:rPr>
        <w:t>:</w:t>
      </w:r>
    </w:p>
    <w:p w14:paraId="4363DF89" w14:textId="77777777" w:rsidR="009266BE" w:rsidRPr="00996DDA" w:rsidRDefault="009266BE" w:rsidP="00EB52C5">
      <w:pPr>
        <w:rPr>
          <w:rFonts w:ascii="Avenir Next" w:hAnsi="Avenir Next"/>
          <w:sz w:val="22"/>
          <w:szCs w:val="22"/>
        </w:rPr>
      </w:pPr>
    </w:p>
    <w:p w14:paraId="3CA28DDC" w14:textId="1B7D3AC5" w:rsidR="009266BE" w:rsidRPr="00996DDA" w:rsidRDefault="00F93C05" w:rsidP="00EB52C5">
      <w:pPr>
        <w:ind w:left="720"/>
        <w:rPr>
          <w:rFonts w:ascii="Avenir Next" w:hAnsi="Avenir Next"/>
          <w:i/>
          <w:iCs/>
          <w:sz w:val="22"/>
          <w:szCs w:val="22"/>
        </w:rPr>
      </w:pPr>
      <w:r w:rsidRPr="00996DDA">
        <w:rPr>
          <w:rFonts w:ascii="Avenir Next" w:hAnsi="Avenir Next"/>
          <w:i/>
          <w:iCs/>
          <w:sz w:val="22"/>
          <w:szCs w:val="22"/>
        </w:rPr>
        <w:t>“</w:t>
      </w:r>
      <w:r w:rsidR="00CA0AA2" w:rsidRPr="00996DDA">
        <w:rPr>
          <w:rFonts w:ascii="Avenir Next" w:hAnsi="Avenir Next"/>
          <w:i/>
          <w:iCs/>
          <w:sz w:val="22"/>
          <w:szCs w:val="22"/>
        </w:rPr>
        <w:t>…</w:t>
      </w:r>
      <w:r w:rsidRPr="00996DDA">
        <w:rPr>
          <w:rFonts w:ascii="Avenir Next" w:hAnsi="Avenir Next"/>
          <w:i/>
          <w:iCs/>
          <w:sz w:val="22"/>
          <w:szCs w:val="22"/>
        </w:rPr>
        <w:t>to make recommendations for consideration by the 88</w:t>
      </w:r>
      <w:r w:rsidRPr="00996DDA">
        <w:rPr>
          <w:rFonts w:ascii="Avenir Next" w:hAnsi="Avenir Next"/>
          <w:i/>
          <w:iCs/>
          <w:sz w:val="22"/>
          <w:szCs w:val="22"/>
          <w:vertAlign w:val="superscript"/>
        </w:rPr>
        <w:t>th</w:t>
      </w:r>
      <w:r w:rsidRPr="00996DDA">
        <w:rPr>
          <w:rFonts w:ascii="Avenir Next" w:hAnsi="Avenir Next"/>
          <w:i/>
          <w:iCs/>
          <w:sz w:val="22"/>
          <w:szCs w:val="22"/>
        </w:rPr>
        <w:t xml:space="preserve"> Texas Legislature regarding the state funding formula and funding</w:t>
      </w:r>
      <w:r w:rsidR="008B71EA" w:rsidRPr="00996DDA">
        <w:rPr>
          <w:rFonts w:ascii="Avenir Next" w:hAnsi="Avenir Next"/>
          <w:i/>
          <w:iCs/>
          <w:sz w:val="22"/>
          <w:szCs w:val="22"/>
        </w:rPr>
        <w:t xml:space="preserve"> </w:t>
      </w:r>
      <w:r w:rsidRPr="00996DDA">
        <w:rPr>
          <w:rFonts w:ascii="Avenir Next" w:hAnsi="Avenir Next"/>
          <w:i/>
          <w:iCs/>
          <w:sz w:val="22"/>
          <w:szCs w:val="22"/>
        </w:rPr>
        <w:t>levels for public junior colleges in Texas that would be sufficient to sustain viable junior college education and training offerings throughout the state.”</w:t>
      </w:r>
      <w:r w:rsidR="0001525C" w:rsidRPr="00996DDA">
        <w:rPr>
          <w:rFonts w:ascii="Avenir Next" w:hAnsi="Avenir Next"/>
          <w:i/>
          <w:iCs/>
          <w:sz w:val="22"/>
          <w:szCs w:val="22"/>
        </w:rPr>
        <w:t xml:space="preserve"> </w:t>
      </w:r>
    </w:p>
    <w:p w14:paraId="5641F783" w14:textId="77777777" w:rsidR="009266BE" w:rsidRPr="00996DDA" w:rsidRDefault="009266BE" w:rsidP="00EB52C5">
      <w:pPr>
        <w:rPr>
          <w:rFonts w:ascii="Avenir Next" w:hAnsi="Avenir Next"/>
          <w:sz w:val="22"/>
          <w:szCs w:val="22"/>
        </w:rPr>
      </w:pPr>
    </w:p>
    <w:p w14:paraId="2AC1E6B6" w14:textId="52E8111C" w:rsidR="00F93C05" w:rsidRPr="00996DDA" w:rsidRDefault="00260155" w:rsidP="00EB52C5">
      <w:pPr>
        <w:rPr>
          <w:rFonts w:ascii="Avenir Next" w:hAnsi="Avenir Next" w:cstheme="minorHAnsi"/>
          <w:color w:val="000000" w:themeColor="text1"/>
          <w:sz w:val="22"/>
          <w:szCs w:val="22"/>
          <w:shd w:val="clear" w:color="auto" w:fill="FFFFFF"/>
        </w:rPr>
      </w:pPr>
      <w:r>
        <w:rPr>
          <w:rFonts w:ascii="Avenir Next" w:hAnsi="Avenir Next" w:cstheme="minorHAnsi"/>
          <w:color w:val="000000" w:themeColor="text1"/>
          <w:sz w:val="22"/>
          <w:szCs w:val="22"/>
          <w:shd w:val="clear" w:color="auto" w:fill="FFFFFF"/>
        </w:rPr>
        <w:t>The bill</w:t>
      </w:r>
      <w:r w:rsidRPr="00996DDA">
        <w:rPr>
          <w:rFonts w:ascii="Avenir Next" w:hAnsi="Avenir Next" w:cstheme="minorHAnsi"/>
          <w:color w:val="000000" w:themeColor="text1"/>
          <w:sz w:val="22"/>
          <w:szCs w:val="22"/>
          <w:shd w:val="clear" w:color="auto" w:fill="FFFFFF"/>
        </w:rPr>
        <w:t xml:space="preserve"> </w:t>
      </w:r>
      <w:r w:rsidR="0001525C" w:rsidRPr="00996DDA">
        <w:rPr>
          <w:rFonts w:ascii="Avenir Next" w:hAnsi="Avenir Next" w:cstheme="minorHAnsi"/>
          <w:color w:val="000000" w:themeColor="text1"/>
          <w:sz w:val="22"/>
          <w:szCs w:val="22"/>
          <w:shd w:val="clear" w:color="auto" w:fill="FFFFFF"/>
        </w:rPr>
        <w:t xml:space="preserve">also </w:t>
      </w:r>
      <w:r w:rsidR="00F8474F">
        <w:rPr>
          <w:rFonts w:ascii="Avenir Next" w:hAnsi="Avenir Next" w:cstheme="minorHAnsi"/>
          <w:color w:val="000000" w:themeColor="text1"/>
          <w:sz w:val="22"/>
          <w:szCs w:val="22"/>
          <w:shd w:val="clear" w:color="auto" w:fill="FFFFFF"/>
        </w:rPr>
        <w:t xml:space="preserve">specifically </w:t>
      </w:r>
      <w:r w:rsidR="0001525C" w:rsidRPr="00996DDA">
        <w:rPr>
          <w:rFonts w:ascii="Avenir Next" w:hAnsi="Avenir Next" w:cstheme="minorHAnsi"/>
          <w:color w:val="000000" w:themeColor="text1"/>
          <w:sz w:val="22"/>
          <w:szCs w:val="22"/>
          <w:shd w:val="clear" w:color="auto" w:fill="FFFFFF"/>
        </w:rPr>
        <w:t>mandated that these recommendations “account for equity in student outcomes, with a particular focus on students who are underrepresented in higher education.”</w:t>
      </w:r>
    </w:p>
    <w:p w14:paraId="505107C9" w14:textId="128420FE" w:rsidR="00FD6B13" w:rsidRPr="00996DDA" w:rsidRDefault="00FD6B13" w:rsidP="00EB52C5">
      <w:pPr>
        <w:rPr>
          <w:rFonts w:ascii="Avenir Next" w:hAnsi="Avenir Next" w:cstheme="minorHAnsi"/>
          <w:color w:val="000000" w:themeColor="text1"/>
          <w:sz w:val="22"/>
          <w:szCs w:val="22"/>
          <w:shd w:val="clear" w:color="auto" w:fill="FFFFFF"/>
        </w:rPr>
      </w:pPr>
    </w:p>
    <w:p w14:paraId="5A43DB65" w14:textId="6A735C7C" w:rsidR="00503F3B" w:rsidRPr="00996DDA" w:rsidRDefault="00FD6B13" w:rsidP="00EB52C5">
      <w:pPr>
        <w:rPr>
          <w:rFonts w:ascii="Avenir Next" w:hAnsi="Avenir Next" w:cstheme="minorHAnsi"/>
          <w:color w:val="000000" w:themeColor="text1"/>
          <w:sz w:val="22"/>
          <w:szCs w:val="22"/>
          <w:shd w:val="clear" w:color="auto" w:fill="FFFFFF"/>
        </w:rPr>
      </w:pPr>
      <w:commentRangeStart w:id="14"/>
      <w:r w:rsidRPr="00996DDA">
        <w:rPr>
          <w:rFonts w:ascii="Avenir Next" w:hAnsi="Avenir Next" w:cstheme="minorHAnsi"/>
          <w:color w:val="000000" w:themeColor="text1"/>
          <w:sz w:val="22"/>
          <w:szCs w:val="22"/>
          <w:shd w:val="clear" w:color="auto" w:fill="FFFFFF"/>
        </w:rPr>
        <w:t xml:space="preserve">Gov. Greg </w:t>
      </w:r>
      <w:r w:rsidR="00B36CA7" w:rsidRPr="00996DDA">
        <w:rPr>
          <w:rFonts w:ascii="Avenir Next" w:hAnsi="Avenir Next" w:cstheme="minorHAnsi"/>
          <w:color w:val="000000" w:themeColor="text1"/>
          <w:sz w:val="22"/>
          <w:szCs w:val="22"/>
          <w:shd w:val="clear" w:color="auto" w:fill="FFFFFF"/>
        </w:rPr>
        <w:t>Abbott</w:t>
      </w:r>
      <w:r w:rsidRPr="00996DDA">
        <w:rPr>
          <w:rFonts w:ascii="Avenir Next" w:hAnsi="Avenir Next" w:cstheme="minorHAnsi"/>
          <w:color w:val="000000" w:themeColor="text1"/>
          <w:sz w:val="22"/>
          <w:szCs w:val="22"/>
          <w:shd w:val="clear" w:color="auto" w:fill="FFFFFF"/>
        </w:rPr>
        <w:t xml:space="preserve"> appointed Wood</w:t>
      </w:r>
      <w:r w:rsidR="00B36CA7" w:rsidRPr="00996DDA">
        <w:rPr>
          <w:rFonts w:ascii="Avenir Next" w:hAnsi="Avenir Next" w:cstheme="minorHAnsi"/>
          <w:color w:val="000000" w:themeColor="text1"/>
          <w:sz w:val="22"/>
          <w:szCs w:val="22"/>
          <w:shd w:val="clear" w:color="auto" w:fill="FFFFFF"/>
        </w:rPr>
        <w:t>y Hunt</w:t>
      </w:r>
      <w:r w:rsidR="00CA0AA2" w:rsidRPr="00996DDA">
        <w:rPr>
          <w:rFonts w:ascii="Avenir Next" w:hAnsi="Avenir Next" w:cstheme="minorHAnsi"/>
          <w:color w:val="000000" w:themeColor="text1"/>
          <w:sz w:val="22"/>
          <w:szCs w:val="22"/>
          <w:shd w:val="clear" w:color="auto" w:fill="FFFFFF"/>
        </w:rPr>
        <w:t xml:space="preserve"> of El Paso</w:t>
      </w:r>
      <w:r w:rsidR="00B36CA7" w:rsidRPr="00996DDA">
        <w:rPr>
          <w:rFonts w:ascii="Avenir Next" w:hAnsi="Avenir Next" w:cstheme="minorHAnsi"/>
          <w:color w:val="000000" w:themeColor="text1"/>
          <w:sz w:val="22"/>
          <w:szCs w:val="22"/>
          <w:shd w:val="clear" w:color="auto" w:fill="FFFFFF"/>
        </w:rPr>
        <w:t xml:space="preserve">, a longtime </w:t>
      </w:r>
      <w:r w:rsidR="00175E0E" w:rsidRPr="00996DDA">
        <w:rPr>
          <w:rFonts w:ascii="Avenir Next" w:hAnsi="Avenir Next" w:cstheme="minorHAnsi"/>
          <w:color w:val="000000" w:themeColor="text1"/>
          <w:sz w:val="22"/>
          <w:szCs w:val="22"/>
          <w:shd w:val="clear" w:color="auto" w:fill="FFFFFF"/>
        </w:rPr>
        <w:t xml:space="preserve">public and higher education advocate, </w:t>
      </w:r>
      <w:r w:rsidR="00B36CA7" w:rsidRPr="00996DDA">
        <w:rPr>
          <w:rFonts w:ascii="Avenir Next" w:hAnsi="Avenir Next" w:cstheme="minorHAnsi"/>
          <w:color w:val="000000" w:themeColor="text1"/>
          <w:sz w:val="22"/>
          <w:szCs w:val="22"/>
          <w:shd w:val="clear" w:color="auto" w:fill="FFFFFF"/>
        </w:rPr>
        <w:t xml:space="preserve">to chair </w:t>
      </w:r>
      <w:r w:rsidR="00297A59">
        <w:rPr>
          <w:rFonts w:ascii="Avenir Next" w:hAnsi="Avenir Next" w:cstheme="minorHAnsi"/>
          <w:color w:val="000000" w:themeColor="text1"/>
          <w:sz w:val="22"/>
          <w:szCs w:val="22"/>
          <w:shd w:val="clear" w:color="auto" w:fill="FFFFFF"/>
        </w:rPr>
        <w:t>the Commission</w:t>
      </w:r>
      <w:r w:rsidR="00B36CA7" w:rsidRPr="00996DDA">
        <w:rPr>
          <w:rFonts w:ascii="Avenir Next" w:hAnsi="Avenir Next" w:cstheme="minorHAnsi"/>
          <w:color w:val="000000" w:themeColor="text1"/>
          <w:sz w:val="22"/>
          <w:szCs w:val="22"/>
          <w:shd w:val="clear" w:color="auto" w:fill="FFFFFF"/>
        </w:rPr>
        <w:t xml:space="preserve">. Hunt was </w:t>
      </w:r>
      <w:r w:rsidR="00503F3B" w:rsidRPr="00996DDA">
        <w:rPr>
          <w:rFonts w:ascii="Avenir Next" w:hAnsi="Avenir Next" w:cstheme="minorHAnsi"/>
          <w:color w:val="000000" w:themeColor="text1"/>
          <w:sz w:val="22"/>
          <w:szCs w:val="22"/>
          <w:shd w:val="clear" w:color="auto" w:fill="FFFFFF"/>
        </w:rPr>
        <w:t>the</w:t>
      </w:r>
      <w:r w:rsidR="00B36CA7" w:rsidRPr="00996DDA">
        <w:rPr>
          <w:rFonts w:ascii="Avenir Next" w:hAnsi="Avenir Next" w:cstheme="minorHAnsi"/>
          <w:color w:val="000000" w:themeColor="text1"/>
          <w:sz w:val="22"/>
          <w:szCs w:val="22"/>
          <w:shd w:val="clear" w:color="auto" w:fill="FFFFFF"/>
        </w:rPr>
        <w:t xml:space="preserve"> </w:t>
      </w:r>
      <w:r w:rsidR="00503F3B" w:rsidRPr="00996DDA">
        <w:rPr>
          <w:rFonts w:ascii="Avenir Next" w:hAnsi="Avenir Next" w:cstheme="minorHAnsi"/>
          <w:color w:val="000000" w:themeColor="text1"/>
          <w:sz w:val="22"/>
          <w:szCs w:val="22"/>
          <w:shd w:val="clear" w:color="auto" w:fill="FFFFFF"/>
        </w:rPr>
        <w:t>ideal</w:t>
      </w:r>
      <w:r w:rsidR="00B36CA7" w:rsidRPr="00996DDA">
        <w:rPr>
          <w:rFonts w:ascii="Avenir Next" w:hAnsi="Avenir Next" w:cstheme="minorHAnsi"/>
          <w:color w:val="000000" w:themeColor="text1"/>
          <w:sz w:val="22"/>
          <w:szCs w:val="22"/>
          <w:shd w:val="clear" w:color="auto" w:fill="FFFFFF"/>
        </w:rPr>
        <w:t xml:space="preserve"> choice for the </w:t>
      </w:r>
      <w:r w:rsidR="00503F3B" w:rsidRPr="00996DDA">
        <w:rPr>
          <w:rFonts w:ascii="Avenir Next" w:hAnsi="Avenir Next" w:cstheme="minorHAnsi"/>
          <w:color w:val="000000" w:themeColor="text1"/>
          <w:sz w:val="22"/>
          <w:szCs w:val="22"/>
          <w:shd w:val="clear" w:color="auto" w:fill="FFFFFF"/>
        </w:rPr>
        <w:t>post. His business</w:t>
      </w:r>
      <w:r w:rsidR="009266BE" w:rsidRPr="00996DDA">
        <w:rPr>
          <w:rFonts w:ascii="Avenir Next" w:hAnsi="Avenir Next" w:cstheme="minorHAnsi"/>
          <w:color w:val="000000" w:themeColor="text1"/>
          <w:sz w:val="22"/>
          <w:szCs w:val="22"/>
          <w:shd w:val="clear" w:color="auto" w:fill="FFFFFF"/>
        </w:rPr>
        <w:t>-centered</w:t>
      </w:r>
      <w:r w:rsidR="00503F3B" w:rsidRPr="00996DDA">
        <w:rPr>
          <w:rFonts w:ascii="Avenir Next" w:hAnsi="Avenir Next" w:cstheme="minorHAnsi"/>
          <w:color w:val="000000" w:themeColor="text1"/>
          <w:sz w:val="22"/>
          <w:szCs w:val="22"/>
          <w:shd w:val="clear" w:color="auto" w:fill="FFFFFF"/>
        </w:rPr>
        <w:t xml:space="preserve"> experience includes </w:t>
      </w:r>
      <w:r w:rsidR="009266BE" w:rsidRPr="00996DDA">
        <w:rPr>
          <w:rFonts w:ascii="Avenir Next" w:hAnsi="Avenir Next" w:cstheme="minorHAnsi"/>
          <w:color w:val="000000" w:themeColor="text1"/>
          <w:sz w:val="22"/>
          <w:szCs w:val="22"/>
          <w:shd w:val="clear" w:color="auto" w:fill="FFFFFF"/>
        </w:rPr>
        <w:t>serving</w:t>
      </w:r>
      <w:r w:rsidR="00503F3B" w:rsidRPr="00996DDA">
        <w:rPr>
          <w:rFonts w:ascii="Avenir Next" w:hAnsi="Avenir Next" w:cstheme="minorHAnsi"/>
          <w:color w:val="000000" w:themeColor="text1"/>
          <w:sz w:val="22"/>
          <w:szCs w:val="22"/>
          <w:shd w:val="clear" w:color="auto" w:fill="FFFFFF"/>
        </w:rPr>
        <w:t xml:space="preserve"> as</w:t>
      </w:r>
      <w:r w:rsidR="00B36CA7" w:rsidRPr="00996DDA">
        <w:rPr>
          <w:rFonts w:ascii="Avenir Next" w:hAnsi="Avenir Next" w:cstheme="minorHAnsi"/>
          <w:color w:val="000000" w:themeColor="text1"/>
          <w:sz w:val="22"/>
          <w:szCs w:val="22"/>
          <w:shd w:val="clear" w:color="auto" w:fill="FFFFFF"/>
        </w:rPr>
        <w:t xml:space="preserve"> </w:t>
      </w:r>
      <w:r w:rsidR="00503F3B" w:rsidRPr="00996DDA">
        <w:rPr>
          <w:rFonts w:ascii="Avenir Next" w:hAnsi="Avenir Next" w:cstheme="minorHAnsi"/>
          <w:color w:val="3C3C3C"/>
          <w:sz w:val="22"/>
          <w:szCs w:val="22"/>
          <w:shd w:val="clear" w:color="auto" w:fill="FFFFFF"/>
        </w:rPr>
        <w:t xml:space="preserve">Senior Chairman of the Board of Directors of Hunt Companies, Inc., </w:t>
      </w:r>
      <w:r w:rsidR="009266BE" w:rsidRPr="00996DDA">
        <w:rPr>
          <w:rFonts w:ascii="Avenir Next" w:hAnsi="Avenir Next" w:cstheme="minorHAnsi"/>
          <w:color w:val="3C3C3C"/>
          <w:sz w:val="22"/>
          <w:szCs w:val="22"/>
          <w:shd w:val="clear" w:color="auto" w:fill="FFFFFF"/>
        </w:rPr>
        <w:t xml:space="preserve">as </w:t>
      </w:r>
      <w:r w:rsidR="00503F3B" w:rsidRPr="00996DDA">
        <w:rPr>
          <w:rFonts w:ascii="Avenir Next" w:hAnsi="Avenir Next" w:cstheme="minorHAnsi"/>
          <w:color w:val="3C3C3C"/>
          <w:sz w:val="22"/>
          <w:szCs w:val="22"/>
          <w:shd w:val="clear" w:color="auto" w:fill="FFFFFF"/>
        </w:rPr>
        <w:t xml:space="preserve">a </w:t>
      </w:r>
      <w:r w:rsidR="00A95B5E">
        <w:rPr>
          <w:rFonts w:ascii="Avenir Next" w:hAnsi="Avenir Next" w:cstheme="minorHAnsi"/>
          <w:color w:val="3C3C3C"/>
          <w:sz w:val="22"/>
          <w:szCs w:val="22"/>
          <w:shd w:val="clear" w:color="auto" w:fill="FFFFFF"/>
        </w:rPr>
        <w:t xml:space="preserve">former </w:t>
      </w:r>
      <w:r w:rsidR="00503F3B" w:rsidRPr="00996DDA">
        <w:rPr>
          <w:rFonts w:ascii="Avenir Next" w:hAnsi="Avenir Next" w:cstheme="minorHAnsi"/>
          <w:color w:val="3C3C3C"/>
          <w:sz w:val="22"/>
          <w:szCs w:val="22"/>
          <w:shd w:val="clear" w:color="auto" w:fill="FFFFFF"/>
        </w:rPr>
        <w:t xml:space="preserve">member of the Texas Economic Development Corporation, and </w:t>
      </w:r>
      <w:r w:rsidR="009266BE" w:rsidRPr="00996DDA">
        <w:rPr>
          <w:rFonts w:ascii="Avenir Next" w:hAnsi="Avenir Next" w:cstheme="minorHAnsi"/>
          <w:color w:val="3C3C3C"/>
          <w:sz w:val="22"/>
          <w:szCs w:val="22"/>
          <w:shd w:val="clear" w:color="auto" w:fill="FFFFFF"/>
        </w:rPr>
        <w:t xml:space="preserve">as </w:t>
      </w:r>
      <w:r w:rsidR="00503F3B" w:rsidRPr="00996DDA">
        <w:rPr>
          <w:rFonts w:ascii="Avenir Next" w:hAnsi="Avenir Next" w:cstheme="minorHAnsi"/>
          <w:color w:val="3C3C3C"/>
          <w:sz w:val="22"/>
          <w:szCs w:val="22"/>
          <w:shd w:val="clear" w:color="auto" w:fill="FFFFFF"/>
        </w:rPr>
        <w:t xml:space="preserve">former Chairman of the Texas Business Leadership Council. His higher education experience includes </w:t>
      </w:r>
      <w:r w:rsidR="009266BE" w:rsidRPr="00996DDA">
        <w:rPr>
          <w:rFonts w:ascii="Avenir Next" w:hAnsi="Avenir Next" w:cstheme="minorHAnsi"/>
          <w:color w:val="3C3C3C"/>
          <w:sz w:val="22"/>
          <w:szCs w:val="22"/>
          <w:shd w:val="clear" w:color="auto" w:fill="FFFFFF"/>
        </w:rPr>
        <w:t>roles</w:t>
      </w:r>
      <w:r w:rsidR="00503F3B" w:rsidRPr="00996DDA">
        <w:rPr>
          <w:rFonts w:ascii="Avenir Next" w:hAnsi="Avenir Next" w:cstheme="minorHAnsi"/>
          <w:color w:val="3C3C3C"/>
          <w:sz w:val="22"/>
          <w:szCs w:val="22"/>
          <w:shd w:val="clear" w:color="auto" w:fill="FFFFFF"/>
        </w:rPr>
        <w:t xml:space="preserve"> as a</w:t>
      </w:r>
      <w:r w:rsidR="00503F3B" w:rsidRPr="00996DDA">
        <w:rPr>
          <w:rFonts w:ascii="Avenir Next" w:hAnsi="Avenir Next" w:cstheme="minorHAnsi"/>
          <w:color w:val="000000" w:themeColor="text1"/>
          <w:sz w:val="22"/>
          <w:szCs w:val="22"/>
          <w:shd w:val="clear" w:color="auto" w:fill="FFFFFF"/>
        </w:rPr>
        <w:t xml:space="preserve"> </w:t>
      </w:r>
      <w:r w:rsidR="00B36CA7" w:rsidRPr="00996DDA">
        <w:rPr>
          <w:rFonts w:ascii="Avenir Next" w:hAnsi="Avenir Next" w:cstheme="minorHAnsi"/>
          <w:color w:val="3C3C3C"/>
          <w:sz w:val="22"/>
          <w:szCs w:val="22"/>
          <w:shd w:val="clear" w:color="auto" w:fill="FFFFFF"/>
        </w:rPr>
        <w:t>trustee of the Texas Higher Education Foundation</w:t>
      </w:r>
      <w:r w:rsidR="00A95B5E">
        <w:rPr>
          <w:rFonts w:ascii="Avenir Next" w:hAnsi="Avenir Next" w:cstheme="minorHAnsi"/>
          <w:color w:val="3C3C3C"/>
          <w:sz w:val="22"/>
          <w:szCs w:val="22"/>
          <w:shd w:val="clear" w:color="auto" w:fill="FFFFFF"/>
        </w:rPr>
        <w:t>;</w:t>
      </w:r>
      <w:r w:rsidR="00503F3B" w:rsidRPr="00996DDA">
        <w:rPr>
          <w:rFonts w:ascii="Avenir Next" w:hAnsi="Avenir Next" w:cstheme="minorHAnsi"/>
          <w:color w:val="3C3C3C"/>
          <w:sz w:val="22"/>
          <w:szCs w:val="22"/>
          <w:shd w:val="clear" w:color="auto" w:fill="FFFFFF"/>
        </w:rPr>
        <w:t xml:space="preserve"> chairman of the Texas Higher Education </w:t>
      </w:r>
      <w:r w:rsidR="00A95B5E">
        <w:rPr>
          <w:rFonts w:ascii="Avenir Next" w:hAnsi="Avenir Next" w:cstheme="minorHAnsi"/>
          <w:color w:val="3C3C3C"/>
          <w:sz w:val="22"/>
          <w:szCs w:val="22"/>
          <w:shd w:val="clear" w:color="auto" w:fill="FFFFFF"/>
        </w:rPr>
        <w:t xml:space="preserve">Coordinating Board </w:t>
      </w:r>
      <w:r w:rsidR="00503F3B" w:rsidRPr="00996DDA">
        <w:rPr>
          <w:rFonts w:ascii="Avenir Next" w:hAnsi="Avenir Next" w:cstheme="minorHAnsi"/>
          <w:color w:val="3C3C3C"/>
          <w:sz w:val="22"/>
          <w:szCs w:val="22"/>
          <w:shd w:val="clear" w:color="auto" w:fill="FFFFFF"/>
        </w:rPr>
        <w:t>Strategic Planning Committee</w:t>
      </w:r>
      <w:r w:rsidR="00A95B5E">
        <w:rPr>
          <w:rFonts w:ascii="Avenir Next" w:hAnsi="Avenir Next" w:cstheme="minorHAnsi"/>
          <w:color w:val="3C3C3C"/>
          <w:sz w:val="22"/>
          <w:szCs w:val="22"/>
          <w:shd w:val="clear" w:color="auto" w:fill="FFFFFF"/>
        </w:rPr>
        <w:t xml:space="preserve">, which created the </w:t>
      </w:r>
      <w:r w:rsidR="00A95B5E" w:rsidRPr="00B06C71">
        <w:rPr>
          <w:rFonts w:ascii="Avenir Next" w:hAnsi="Avenir Next" w:cstheme="minorHAnsi"/>
          <w:i/>
          <w:iCs/>
          <w:color w:val="3C3C3C"/>
          <w:sz w:val="22"/>
          <w:szCs w:val="22"/>
          <w:shd w:val="clear" w:color="auto" w:fill="FFFFFF"/>
        </w:rPr>
        <w:t>60x30TX</w:t>
      </w:r>
      <w:r w:rsidR="00A95B5E">
        <w:rPr>
          <w:rFonts w:ascii="Avenir Next" w:hAnsi="Avenir Next" w:cstheme="minorHAnsi"/>
          <w:color w:val="3C3C3C"/>
          <w:sz w:val="22"/>
          <w:szCs w:val="22"/>
          <w:shd w:val="clear" w:color="auto" w:fill="FFFFFF"/>
        </w:rPr>
        <w:t xml:space="preserve"> Plan in 2015;</w:t>
      </w:r>
      <w:r w:rsidR="00503F3B" w:rsidRPr="00996DDA">
        <w:rPr>
          <w:rFonts w:ascii="Avenir Next" w:hAnsi="Avenir Next" w:cstheme="minorHAnsi"/>
          <w:color w:val="3C3C3C"/>
          <w:sz w:val="22"/>
          <w:szCs w:val="22"/>
          <w:shd w:val="clear" w:color="auto" w:fill="FFFFFF"/>
        </w:rPr>
        <w:t xml:space="preserve"> vice chairman of the UT System Board of Regents</w:t>
      </w:r>
      <w:r w:rsidR="00A95B5E">
        <w:rPr>
          <w:rFonts w:ascii="Avenir Next" w:hAnsi="Avenir Next" w:cstheme="minorHAnsi"/>
          <w:color w:val="3C3C3C"/>
          <w:sz w:val="22"/>
          <w:szCs w:val="22"/>
          <w:shd w:val="clear" w:color="auto" w:fill="FFFFFF"/>
        </w:rPr>
        <w:t>;</w:t>
      </w:r>
      <w:r w:rsidR="00503F3B" w:rsidRPr="00996DDA">
        <w:rPr>
          <w:rFonts w:ascii="Avenir Next" w:hAnsi="Avenir Next" w:cstheme="minorHAnsi"/>
          <w:color w:val="3C3C3C"/>
          <w:sz w:val="22"/>
          <w:szCs w:val="22"/>
          <w:shd w:val="clear" w:color="auto" w:fill="FFFFFF"/>
        </w:rPr>
        <w:t xml:space="preserve"> and chairman of the</w:t>
      </w:r>
      <w:r w:rsidR="00A95B5E">
        <w:rPr>
          <w:rFonts w:ascii="Avenir Next" w:hAnsi="Avenir Next" w:cstheme="minorHAnsi"/>
          <w:color w:val="3C3C3C"/>
          <w:sz w:val="22"/>
          <w:szCs w:val="22"/>
          <w:shd w:val="clear" w:color="auto" w:fill="FFFFFF"/>
        </w:rPr>
        <w:t xml:space="preserve"> </w:t>
      </w:r>
      <w:r w:rsidR="00785950">
        <w:rPr>
          <w:rFonts w:ascii="Avenir Next" w:hAnsi="Avenir Next" w:cstheme="minorHAnsi"/>
          <w:color w:val="3C3C3C"/>
          <w:sz w:val="22"/>
          <w:szCs w:val="22"/>
          <w:shd w:val="clear" w:color="auto" w:fill="FFFFFF"/>
        </w:rPr>
        <w:t xml:space="preserve">2008 </w:t>
      </w:r>
      <w:r w:rsidR="00A95B5E">
        <w:rPr>
          <w:rFonts w:ascii="Avenir Next" w:hAnsi="Avenir Next" w:cstheme="minorHAnsi"/>
          <w:color w:val="3C3C3C"/>
          <w:sz w:val="22"/>
          <w:szCs w:val="22"/>
          <w:shd w:val="clear" w:color="auto" w:fill="FFFFFF"/>
        </w:rPr>
        <w:t xml:space="preserve">Select Commission on Higher Education </w:t>
      </w:r>
      <w:r w:rsidR="00785950">
        <w:rPr>
          <w:rFonts w:ascii="Avenir Next" w:hAnsi="Avenir Next" w:cstheme="minorHAnsi"/>
          <w:color w:val="3C3C3C"/>
          <w:sz w:val="22"/>
          <w:szCs w:val="22"/>
          <w:shd w:val="clear" w:color="auto" w:fill="FFFFFF"/>
        </w:rPr>
        <w:t xml:space="preserve">and Global </w:t>
      </w:r>
      <w:r w:rsidR="00A95B5E">
        <w:rPr>
          <w:rFonts w:ascii="Avenir Next" w:hAnsi="Avenir Next" w:cstheme="minorHAnsi"/>
          <w:color w:val="3C3C3C"/>
          <w:sz w:val="22"/>
          <w:szCs w:val="22"/>
          <w:shd w:val="clear" w:color="auto" w:fill="FFFFFF"/>
        </w:rPr>
        <w:t>Competitiveness</w:t>
      </w:r>
      <w:r w:rsidR="00503F3B" w:rsidRPr="00996DDA">
        <w:rPr>
          <w:rFonts w:ascii="Avenir Next" w:hAnsi="Avenir Next" w:cstheme="minorHAnsi"/>
          <w:color w:val="3C3C3C"/>
          <w:sz w:val="22"/>
          <w:szCs w:val="22"/>
          <w:shd w:val="clear" w:color="auto" w:fill="FFFFFF"/>
        </w:rPr>
        <w:t>.</w:t>
      </w:r>
      <w:commentRangeEnd w:id="14"/>
      <w:r w:rsidR="00E83482" w:rsidRPr="00996DDA">
        <w:rPr>
          <w:rStyle w:val="CommentReference"/>
          <w:rFonts w:ascii="Avenir Next" w:hAnsi="Avenir Next"/>
          <w:sz w:val="22"/>
          <w:szCs w:val="22"/>
        </w:rPr>
        <w:commentReference w:id="14"/>
      </w:r>
    </w:p>
    <w:p w14:paraId="31C7FAB1" w14:textId="5FE91524" w:rsidR="00F93C05" w:rsidRPr="00996DDA" w:rsidRDefault="00F93C05" w:rsidP="00EB52C5">
      <w:pPr>
        <w:rPr>
          <w:rFonts w:ascii="Avenir Next" w:hAnsi="Avenir Next"/>
          <w:sz w:val="22"/>
          <w:szCs w:val="22"/>
        </w:rPr>
      </w:pPr>
    </w:p>
    <w:p w14:paraId="096AFB68" w14:textId="2D9050C6" w:rsidR="00F93C05" w:rsidRPr="00996DDA" w:rsidRDefault="0001525C" w:rsidP="00EB52C5">
      <w:pPr>
        <w:rPr>
          <w:rFonts w:ascii="Avenir Next" w:hAnsi="Avenir Next"/>
          <w:sz w:val="22"/>
          <w:szCs w:val="22"/>
        </w:rPr>
      </w:pPr>
      <w:r w:rsidRPr="00996DDA">
        <w:rPr>
          <w:rFonts w:ascii="Avenir Next" w:hAnsi="Avenir Next"/>
          <w:sz w:val="22"/>
          <w:szCs w:val="22"/>
        </w:rPr>
        <w:t>U</w:t>
      </w:r>
      <w:r w:rsidR="008B71EA" w:rsidRPr="00996DDA">
        <w:rPr>
          <w:rFonts w:ascii="Avenir Next" w:hAnsi="Avenir Next"/>
          <w:sz w:val="22"/>
          <w:szCs w:val="22"/>
        </w:rPr>
        <w:t xml:space="preserve">nder the leadership of </w:t>
      </w:r>
      <w:r w:rsidR="00FD6B13" w:rsidRPr="00996DDA">
        <w:rPr>
          <w:rFonts w:ascii="Avenir Next" w:hAnsi="Avenir Next"/>
          <w:sz w:val="22"/>
          <w:szCs w:val="22"/>
        </w:rPr>
        <w:t>Chairman</w:t>
      </w:r>
      <w:r w:rsidR="008B71EA" w:rsidRPr="00996DDA">
        <w:rPr>
          <w:rFonts w:ascii="Avenir Next" w:hAnsi="Avenir Next"/>
          <w:sz w:val="22"/>
          <w:szCs w:val="22"/>
        </w:rPr>
        <w:t xml:space="preserve"> Hunt</w:t>
      </w:r>
      <w:r w:rsidRPr="00996DDA">
        <w:rPr>
          <w:rFonts w:ascii="Avenir Next" w:hAnsi="Avenir Next"/>
          <w:sz w:val="22"/>
          <w:szCs w:val="22"/>
        </w:rPr>
        <w:t>,</w:t>
      </w:r>
      <w:r w:rsidR="00297A59">
        <w:rPr>
          <w:rFonts w:ascii="Avenir Next" w:hAnsi="Avenir Next"/>
          <w:sz w:val="22"/>
          <w:szCs w:val="22"/>
        </w:rPr>
        <w:t xml:space="preserve"> and with the support of the Texas Higher Education Coordinating Board and national experts from HCM Strategists and the National Center for Higher Education Management Systems,</w:t>
      </w:r>
      <w:r w:rsidRPr="00996DDA">
        <w:rPr>
          <w:rFonts w:ascii="Avenir Next" w:hAnsi="Avenir Next"/>
          <w:sz w:val="22"/>
          <w:szCs w:val="22"/>
        </w:rPr>
        <w:t xml:space="preserve"> </w:t>
      </w:r>
      <w:r w:rsidR="00297A59">
        <w:rPr>
          <w:rFonts w:ascii="Avenir Next" w:hAnsi="Avenir Next"/>
          <w:sz w:val="22"/>
          <w:szCs w:val="22"/>
        </w:rPr>
        <w:t>the Commission</w:t>
      </w:r>
      <w:r w:rsidR="00297A59" w:rsidRPr="00996DDA">
        <w:rPr>
          <w:rFonts w:ascii="Avenir Next" w:hAnsi="Avenir Next"/>
          <w:sz w:val="22"/>
          <w:szCs w:val="22"/>
        </w:rPr>
        <w:t xml:space="preserve"> </w:t>
      </w:r>
      <w:r w:rsidRPr="00996DDA">
        <w:rPr>
          <w:rFonts w:ascii="Avenir Next" w:hAnsi="Avenir Next"/>
          <w:sz w:val="22"/>
          <w:szCs w:val="22"/>
        </w:rPr>
        <w:t xml:space="preserve">spent </w:t>
      </w:r>
      <w:r w:rsidR="00A95B5E">
        <w:rPr>
          <w:rFonts w:ascii="Avenir Next" w:hAnsi="Avenir Next"/>
          <w:sz w:val="22"/>
          <w:szCs w:val="22"/>
        </w:rPr>
        <w:t>almost</w:t>
      </w:r>
      <w:r w:rsidRPr="00996DDA">
        <w:rPr>
          <w:rFonts w:ascii="Avenir Next" w:hAnsi="Avenir Next"/>
          <w:sz w:val="22"/>
          <w:szCs w:val="22"/>
        </w:rPr>
        <w:t xml:space="preserve"> a year</w:t>
      </w:r>
      <w:r w:rsidR="00F93C05" w:rsidRPr="00996DDA">
        <w:rPr>
          <w:rFonts w:ascii="Avenir Next" w:hAnsi="Avenir Next"/>
          <w:sz w:val="22"/>
          <w:szCs w:val="22"/>
        </w:rPr>
        <w:t xml:space="preserve"> </w:t>
      </w:r>
      <w:r w:rsidR="008B71EA" w:rsidRPr="00996DDA">
        <w:rPr>
          <w:rFonts w:ascii="Avenir Next" w:hAnsi="Avenir Next"/>
          <w:sz w:val="22"/>
          <w:szCs w:val="22"/>
        </w:rPr>
        <w:t>consulting</w:t>
      </w:r>
      <w:r w:rsidR="00F93C05" w:rsidRPr="00996DDA">
        <w:rPr>
          <w:rFonts w:ascii="Avenir Next" w:hAnsi="Avenir Next"/>
          <w:sz w:val="22"/>
          <w:szCs w:val="22"/>
        </w:rPr>
        <w:t xml:space="preserve"> with state and national policy experts</w:t>
      </w:r>
      <w:r w:rsidR="00F01085" w:rsidRPr="00996DDA">
        <w:rPr>
          <w:rFonts w:ascii="Avenir Next" w:hAnsi="Avenir Next"/>
          <w:sz w:val="22"/>
          <w:szCs w:val="22"/>
        </w:rPr>
        <w:t xml:space="preserve"> and</w:t>
      </w:r>
      <w:r w:rsidR="00F93C05" w:rsidRPr="00996DDA">
        <w:rPr>
          <w:rFonts w:ascii="Avenir Next" w:hAnsi="Avenir Next"/>
          <w:sz w:val="22"/>
          <w:szCs w:val="22"/>
        </w:rPr>
        <w:t xml:space="preserve"> </w:t>
      </w:r>
      <w:r w:rsidR="008B71EA" w:rsidRPr="00996DDA">
        <w:rPr>
          <w:rFonts w:ascii="Avenir Next" w:hAnsi="Avenir Next"/>
          <w:sz w:val="22"/>
          <w:szCs w:val="22"/>
        </w:rPr>
        <w:t>reviewing</w:t>
      </w:r>
      <w:r w:rsidR="00F93C05" w:rsidRPr="00996DDA">
        <w:rPr>
          <w:rFonts w:ascii="Avenir Next" w:hAnsi="Avenir Next"/>
          <w:sz w:val="22"/>
          <w:szCs w:val="22"/>
        </w:rPr>
        <w:t xml:space="preserve"> extensive analyses of college enrollments, outcomes, and costs.</w:t>
      </w:r>
      <w:r w:rsidR="009266BE" w:rsidRPr="00996DDA">
        <w:rPr>
          <w:rFonts w:ascii="Avenir Next" w:hAnsi="Avenir Next"/>
          <w:sz w:val="22"/>
          <w:szCs w:val="22"/>
        </w:rPr>
        <w:t xml:space="preserve"> </w:t>
      </w:r>
      <w:r w:rsidR="00297A59">
        <w:rPr>
          <w:rFonts w:ascii="Avenir Next" w:hAnsi="Avenir Next"/>
          <w:sz w:val="22"/>
          <w:szCs w:val="22"/>
        </w:rPr>
        <w:t>They</w:t>
      </w:r>
      <w:r w:rsidR="009266BE" w:rsidRPr="00996DDA">
        <w:rPr>
          <w:rFonts w:ascii="Avenir Next" w:hAnsi="Avenir Next"/>
          <w:sz w:val="22"/>
          <w:szCs w:val="22"/>
        </w:rPr>
        <w:t xml:space="preserve"> met </w:t>
      </w:r>
      <w:r w:rsidR="004172B8" w:rsidRPr="00996DDA">
        <w:rPr>
          <w:rFonts w:ascii="Avenir Next" w:hAnsi="Avenir Next"/>
          <w:sz w:val="22"/>
          <w:szCs w:val="22"/>
        </w:rPr>
        <w:t>seven</w:t>
      </w:r>
      <w:r w:rsidR="009266BE" w:rsidRPr="00996DDA">
        <w:rPr>
          <w:rFonts w:ascii="Avenir Next" w:hAnsi="Avenir Next"/>
          <w:sz w:val="22"/>
          <w:szCs w:val="22"/>
        </w:rPr>
        <w:t xml:space="preserve"> times as a </w:t>
      </w:r>
      <w:r w:rsidR="00297A59">
        <w:rPr>
          <w:rFonts w:ascii="Avenir Next" w:hAnsi="Avenir Next"/>
          <w:sz w:val="22"/>
          <w:szCs w:val="22"/>
        </w:rPr>
        <w:t xml:space="preserve">full </w:t>
      </w:r>
      <w:r w:rsidR="009266BE" w:rsidRPr="00996DDA">
        <w:rPr>
          <w:rFonts w:ascii="Avenir Next" w:hAnsi="Avenir Next"/>
          <w:sz w:val="22"/>
          <w:szCs w:val="22"/>
        </w:rPr>
        <w:t xml:space="preserve">commission and multiple times </w:t>
      </w:r>
      <w:r w:rsidR="00360269">
        <w:rPr>
          <w:rFonts w:ascii="Avenir Next" w:hAnsi="Avenir Next"/>
          <w:sz w:val="22"/>
          <w:szCs w:val="22"/>
        </w:rPr>
        <w:t xml:space="preserve">in </w:t>
      </w:r>
      <w:r w:rsidR="009266BE" w:rsidRPr="00996DDA">
        <w:rPr>
          <w:rFonts w:ascii="Avenir Next" w:hAnsi="Avenir Next"/>
          <w:sz w:val="22"/>
          <w:szCs w:val="22"/>
        </w:rPr>
        <w:t>three</w:t>
      </w:r>
      <w:r w:rsidR="00360269">
        <w:rPr>
          <w:rFonts w:ascii="Avenir Next" w:hAnsi="Avenir Next"/>
          <w:sz w:val="22"/>
          <w:szCs w:val="22"/>
        </w:rPr>
        <w:t xml:space="preserve"> smaller</w:t>
      </w:r>
      <w:r w:rsidR="009266BE" w:rsidRPr="00996DDA">
        <w:rPr>
          <w:rFonts w:ascii="Avenir Next" w:hAnsi="Avenir Next"/>
          <w:sz w:val="22"/>
          <w:szCs w:val="22"/>
        </w:rPr>
        <w:t xml:space="preserve"> working groups focused on </w:t>
      </w:r>
      <w:r w:rsidR="00E8757C" w:rsidRPr="00996DDA">
        <w:rPr>
          <w:rFonts w:ascii="Avenir Next" w:hAnsi="Avenir Next"/>
          <w:sz w:val="22"/>
          <w:szCs w:val="22"/>
        </w:rPr>
        <w:t>student support, workforce education, and college operations.</w:t>
      </w:r>
    </w:p>
    <w:p w14:paraId="38149289" w14:textId="08465C07" w:rsidR="00DB58B5" w:rsidRPr="00996DDA" w:rsidRDefault="00DB58B5" w:rsidP="00EB52C5">
      <w:pPr>
        <w:rPr>
          <w:rFonts w:ascii="Avenir Next" w:hAnsi="Avenir Next" w:cs="Arial"/>
          <w:color w:val="0A406B"/>
          <w:sz w:val="22"/>
          <w:szCs w:val="22"/>
          <w:shd w:val="clear" w:color="auto" w:fill="FFFFFF"/>
        </w:rPr>
      </w:pPr>
    </w:p>
    <w:p w14:paraId="42C38A37" w14:textId="7899F016" w:rsidR="0046682B" w:rsidRPr="00996DDA" w:rsidRDefault="00297A59" w:rsidP="00F01085">
      <w:pPr>
        <w:rPr>
          <w:rFonts w:ascii="Avenir Next" w:hAnsi="Avenir Next"/>
          <w:sz w:val="22"/>
          <w:szCs w:val="22"/>
        </w:rPr>
      </w:pPr>
      <w:r>
        <w:rPr>
          <w:rFonts w:ascii="Avenir Next" w:hAnsi="Avenir Next"/>
          <w:sz w:val="22"/>
          <w:szCs w:val="22"/>
        </w:rPr>
        <w:t>Commission</w:t>
      </w:r>
      <w:r w:rsidRPr="00996DDA">
        <w:rPr>
          <w:rFonts w:ascii="Avenir Next" w:hAnsi="Avenir Next"/>
          <w:sz w:val="22"/>
          <w:szCs w:val="22"/>
        </w:rPr>
        <w:t xml:space="preserve"> </w:t>
      </w:r>
      <w:r w:rsidR="00F01085" w:rsidRPr="00996DDA">
        <w:rPr>
          <w:rFonts w:ascii="Avenir Next" w:hAnsi="Avenir Next"/>
          <w:sz w:val="22"/>
          <w:szCs w:val="22"/>
        </w:rPr>
        <w:t>members also gathered input from community college presidents and trustees, students, workforce entities, and the public</w:t>
      </w:r>
      <w:r w:rsidR="00F01085" w:rsidRPr="00996DDA" w:rsidDel="00F01085">
        <w:rPr>
          <w:rFonts w:ascii="Avenir Next" w:hAnsi="Avenir Next"/>
          <w:b/>
          <w:bCs/>
          <w:sz w:val="22"/>
          <w:szCs w:val="22"/>
        </w:rPr>
        <w:t xml:space="preserve"> </w:t>
      </w:r>
      <w:r w:rsidR="00F01085" w:rsidRPr="00996DDA">
        <w:rPr>
          <w:rFonts w:ascii="Avenir Next" w:hAnsi="Avenir Next"/>
          <w:b/>
          <w:bCs/>
          <w:sz w:val="22"/>
          <w:szCs w:val="22"/>
        </w:rPr>
        <w:t xml:space="preserve">— </w:t>
      </w:r>
      <w:r w:rsidR="00F01085" w:rsidRPr="00727D43">
        <w:rPr>
          <w:rFonts w:ascii="Avenir Next" w:hAnsi="Avenir Next"/>
          <w:sz w:val="22"/>
          <w:szCs w:val="22"/>
        </w:rPr>
        <w:t xml:space="preserve">and listened closely to </w:t>
      </w:r>
      <w:r w:rsidR="00F01085" w:rsidRPr="00996DDA">
        <w:rPr>
          <w:rFonts w:ascii="Avenir Next" w:hAnsi="Avenir Next"/>
          <w:sz w:val="22"/>
          <w:szCs w:val="22"/>
        </w:rPr>
        <w:t xml:space="preserve">each of </w:t>
      </w:r>
      <w:r w:rsidR="00F01085" w:rsidRPr="00727D43">
        <w:rPr>
          <w:rFonts w:ascii="Avenir Next" w:hAnsi="Avenir Next"/>
          <w:sz w:val="22"/>
          <w:szCs w:val="22"/>
        </w:rPr>
        <w:t>these groups</w:t>
      </w:r>
      <w:r w:rsidR="00F01085" w:rsidRPr="00996DDA">
        <w:rPr>
          <w:rFonts w:ascii="Avenir Next" w:hAnsi="Avenir Next"/>
          <w:b/>
          <w:bCs/>
          <w:sz w:val="22"/>
          <w:szCs w:val="22"/>
        </w:rPr>
        <w:t xml:space="preserve"> </w:t>
      </w:r>
      <w:r w:rsidR="00F01085" w:rsidRPr="00727D43">
        <w:rPr>
          <w:rFonts w:ascii="Avenir Next" w:hAnsi="Avenir Next"/>
          <w:sz w:val="22"/>
          <w:szCs w:val="22"/>
        </w:rPr>
        <w:t xml:space="preserve">so that the </w:t>
      </w:r>
      <w:r w:rsidR="00F01085" w:rsidRPr="00996DDA">
        <w:rPr>
          <w:rFonts w:ascii="Avenir Next" w:hAnsi="Avenir Next"/>
          <w:sz w:val="22"/>
          <w:szCs w:val="22"/>
        </w:rPr>
        <w:t>recommendations</w:t>
      </w:r>
      <w:r w:rsidR="00F01085" w:rsidRPr="00727D43">
        <w:rPr>
          <w:rFonts w:ascii="Avenir Next" w:hAnsi="Avenir Next"/>
          <w:sz w:val="22"/>
          <w:szCs w:val="22"/>
        </w:rPr>
        <w:t xml:space="preserve"> reflect</w:t>
      </w:r>
      <w:r w:rsidR="00C0403E" w:rsidRPr="00996DDA">
        <w:rPr>
          <w:rFonts w:ascii="Avenir Next" w:hAnsi="Avenir Next" w:cstheme="minorHAnsi"/>
          <w:sz w:val="22"/>
          <w:szCs w:val="22"/>
        </w:rPr>
        <w:t xml:space="preserve"> </w:t>
      </w:r>
      <w:r w:rsidR="00F01085" w:rsidRPr="00996DDA">
        <w:rPr>
          <w:rFonts w:ascii="Avenir Next" w:hAnsi="Avenir Next" w:cstheme="minorHAnsi"/>
          <w:sz w:val="22"/>
          <w:szCs w:val="22"/>
        </w:rPr>
        <w:t xml:space="preserve">Texans’ </w:t>
      </w:r>
      <w:r w:rsidR="00C0403E" w:rsidRPr="00996DDA">
        <w:rPr>
          <w:rFonts w:ascii="Avenir Next" w:hAnsi="Avenir Next" w:cstheme="minorHAnsi"/>
          <w:sz w:val="22"/>
          <w:szCs w:val="22"/>
        </w:rPr>
        <w:t>needs</w:t>
      </w:r>
      <w:r w:rsidR="00F01085" w:rsidRPr="00996DDA">
        <w:rPr>
          <w:rFonts w:ascii="Avenir Next" w:hAnsi="Avenir Next" w:cstheme="minorHAnsi"/>
          <w:sz w:val="22"/>
          <w:szCs w:val="22"/>
        </w:rPr>
        <w:t xml:space="preserve">, </w:t>
      </w:r>
      <w:r w:rsidR="00C0403E" w:rsidRPr="00996DDA">
        <w:rPr>
          <w:rFonts w:ascii="Avenir Next" w:hAnsi="Avenir Next" w:cstheme="minorHAnsi"/>
          <w:sz w:val="22"/>
          <w:szCs w:val="22"/>
        </w:rPr>
        <w:t>goals</w:t>
      </w:r>
      <w:r w:rsidR="00F01085" w:rsidRPr="00996DDA">
        <w:rPr>
          <w:rFonts w:ascii="Avenir Next" w:hAnsi="Avenir Next" w:cstheme="minorHAnsi"/>
          <w:sz w:val="22"/>
          <w:szCs w:val="22"/>
        </w:rPr>
        <w:t>, and values</w:t>
      </w:r>
      <w:r w:rsidR="00364BB8" w:rsidRPr="00996DDA">
        <w:rPr>
          <w:rFonts w:ascii="Avenir Next" w:hAnsi="Avenir Next"/>
          <w:sz w:val="22"/>
          <w:szCs w:val="22"/>
        </w:rPr>
        <w:t>.</w:t>
      </w:r>
    </w:p>
    <w:p w14:paraId="0B6D44B0" w14:textId="77777777" w:rsidR="00471C6C" w:rsidRPr="00996DDA" w:rsidRDefault="00471C6C" w:rsidP="00EB52C5">
      <w:pPr>
        <w:rPr>
          <w:rFonts w:ascii="Avenir Next" w:hAnsi="Avenir Next"/>
          <w:sz w:val="22"/>
          <w:szCs w:val="22"/>
        </w:rPr>
      </w:pPr>
    </w:p>
    <w:p w14:paraId="2A5890DC" w14:textId="1CDBD26E" w:rsidR="002B1283" w:rsidRPr="00996DDA" w:rsidRDefault="00297A59" w:rsidP="00EB52C5">
      <w:pPr>
        <w:rPr>
          <w:rFonts w:ascii="Avenir Next" w:hAnsi="Avenir Next"/>
          <w:sz w:val="22"/>
          <w:szCs w:val="22"/>
        </w:rPr>
      </w:pPr>
      <w:r>
        <w:rPr>
          <w:rFonts w:ascii="Avenir Next" w:hAnsi="Avenir Next"/>
          <w:sz w:val="22"/>
          <w:szCs w:val="22"/>
        </w:rPr>
        <w:t>To support the Commission’s work, the Texas Higher Education Foundation</w:t>
      </w:r>
      <w:r w:rsidRPr="00996DDA">
        <w:rPr>
          <w:rFonts w:ascii="Avenir Next" w:hAnsi="Avenir Next"/>
          <w:sz w:val="22"/>
          <w:szCs w:val="22"/>
        </w:rPr>
        <w:t xml:space="preserve"> </w:t>
      </w:r>
      <w:r w:rsidR="00F8474F">
        <w:rPr>
          <w:rFonts w:ascii="Avenir Next" w:hAnsi="Avenir Next"/>
          <w:sz w:val="22"/>
          <w:szCs w:val="22"/>
        </w:rPr>
        <w:t xml:space="preserve">also </w:t>
      </w:r>
      <w:r w:rsidR="00364BB8" w:rsidRPr="00996DDA">
        <w:rPr>
          <w:rFonts w:ascii="Avenir Next" w:hAnsi="Avenir Next"/>
          <w:sz w:val="22"/>
          <w:szCs w:val="22"/>
        </w:rPr>
        <w:t xml:space="preserve">commissioned a </w:t>
      </w:r>
      <w:r w:rsidR="00275D0C" w:rsidRPr="00996DDA">
        <w:rPr>
          <w:rFonts w:ascii="Avenir Next" w:hAnsi="Avenir Next"/>
          <w:sz w:val="22"/>
          <w:szCs w:val="22"/>
        </w:rPr>
        <w:t>poll of 5,000 Texans</w:t>
      </w:r>
      <w:r w:rsidR="00364BB8" w:rsidRPr="00996DDA">
        <w:rPr>
          <w:rFonts w:ascii="Avenir Next" w:hAnsi="Avenir Next"/>
          <w:sz w:val="22"/>
          <w:szCs w:val="22"/>
        </w:rPr>
        <w:t xml:space="preserve">, generously funded by the </w:t>
      </w:r>
      <w:r w:rsidR="00AE4A8F" w:rsidRPr="00996DDA">
        <w:rPr>
          <w:rFonts w:ascii="Avenir Next" w:hAnsi="Avenir Next"/>
          <w:sz w:val="22"/>
          <w:szCs w:val="22"/>
        </w:rPr>
        <w:t>Bi</w:t>
      </w:r>
      <w:r w:rsidR="00364BB8" w:rsidRPr="00996DDA">
        <w:rPr>
          <w:rFonts w:ascii="Avenir Next" w:hAnsi="Avenir Next"/>
          <w:sz w:val="22"/>
          <w:szCs w:val="22"/>
        </w:rPr>
        <w:t>l</w:t>
      </w:r>
      <w:r w:rsidR="00AE4A8F" w:rsidRPr="00996DDA">
        <w:rPr>
          <w:rFonts w:ascii="Avenir Next" w:hAnsi="Avenir Next"/>
          <w:sz w:val="22"/>
          <w:szCs w:val="22"/>
        </w:rPr>
        <w:t xml:space="preserve">l and Melinda </w:t>
      </w:r>
      <w:r w:rsidR="00364BB8" w:rsidRPr="00996DDA">
        <w:rPr>
          <w:rFonts w:ascii="Avenir Next" w:hAnsi="Avenir Next"/>
          <w:sz w:val="22"/>
          <w:szCs w:val="22"/>
        </w:rPr>
        <w:t>Gates</w:t>
      </w:r>
      <w:r w:rsidR="00AE4A8F" w:rsidRPr="00996DDA">
        <w:rPr>
          <w:rFonts w:ascii="Avenir Next" w:hAnsi="Avenir Next"/>
          <w:sz w:val="22"/>
          <w:szCs w:val="22"/>
        </w:rPr>
        <w:t xml:space="preserve"> Foundation and Educate</w:t>
      </w:r>
      <w:r w:rsidR="00EB4942" w:rsidRPr="00996DDA">
        <w:rPr>
          <w:rFonts w:ascii="Avenir Next" w:hAnsi="Avenir Next"/>
          <w:sz w:val="22"/>
          <w:szCs w:val="22"/>
        </w:rPr>
        <w:t xml:space="preserve"> </w:t>
      </w:r>
      <w:r w:rsidR="00AE4A8F" w:rsidRPr="00996DDA">
        <w:rPr>
          <w:rFonts w:ascii="Avenir Next" w:hAnsi="Avenir Next"/>
          <w:sz w:val="22"/>
          <w:szCs w:val="22"/>
        </w:rPr>
        <w:t>Texas</w:t>
      </w:r>
      <w:r w:rsidR="00364BB8" w:rsidRPr="00996DDA">
        <w:rPr>
          <w:rFonts w:ascii="Avenir Next" w:hAnsi="Avenir Next"/>
          <w:sz w:val="22"/>
          <w:szCs w:val="22"/>
        </w:rPr>
        <w:t xml:space="preserve">. </w:t>
      </w:r>
      <w:r>
        <w:rPr>
          <w:rFonts w:ascii="Avenir Next" w:hAnsi="Avenir Next"/>
          <w:sz w:val="22"/>
          <w:szCs w:val="22"/>
        </w:rPr>
        <w:t>This poll</w:t>
      </w:r>
      <w:r w:rsidRPr="00996DDA">
        <w:rPr>
          <w:rFonts w:ascii="Avenir Next" w:hAnsi="Avenir Next"/>
          <w:sz w:val="22"/>
          <w:szCs w:val="22"/>
        </w:rPr>
        <w:t xml:space="preserve"> </w:t>
      </w:r>
      <w:r w:rsidR="00275D0C" w:rsidRPr="00996DDA">
        <w:rPr>
          <w:rFonts w:ascii="Avenir Next" w:hAnsi="Avenir Next"/>
          <w:sz w:val="22"/>
          <w:szCs w:val="22"/>
        </w:rPr>
        <w:t>found that 8</w:t>
      </w:r>
      <w:r w:rsidR="00E01098" w:rsidRPr="00996DDA">
        <w:rPr>
          <w:rFonts w:ascii="Avenir Next" w:hAnsi="Avenir Next"/>
          <w:sz w:val="22"/>
          <w:szCs w:val="22"/>
        </w:rPr>
        <w:t>5</w:t>
      </w:r>
      <w:r w:rsidR="00E833EE">
        <w:rPr>
          <w:rFonts w:ascii="Avenir Next" w:hAnsi="Avenir Next"/>
          <w:sz w:val="22"/>
          <w:szCs w:val="22"/>
        </w:rPr>
        <w:t xml:space="preserve"> percent</w:t>
      </w:r>
      <w:r w:rsidR="00275D0C" w:rsidRPr="00996DDA">
        <w:rPr>
          <w:rFonts w:ascii="Avenir Next" w:hAnsi="Avenir Next"/>
          <w:sz w:val="22"/>
          <w:szCs w:val="22"/>
        </w:rPr>
        <w:t xml:space="preserve"> </w:t>
      </w:r>
      <w:r w:rsidR="00E01098" w:rsidRPr="00996DDA">
        <w:rPr>
          <w:rFonts w:ascii="Avenir Next" w:hAnsi="Avenir Next"/>
          <w:sz w:val="22"/>
          <w:szCs w:val="22"/>
        </w:rPr>
        <w:t>believe credentials from community colleges are valuable, 91</w:t>
      </w:r>
      <w:r w:rsidR="00E833EE">
        <w:rPr>
          <w:rFonts w:ascii="Avenir Next" w:hAnsi="Avenir Next"/>
          <w:sz w:val="22"/>
          <w:szCs w:val="22"/>
        </w:rPr>
        <w:t xml:space="preserve"> percent</w:t>
      </w:r>
      <w:r w:rsidR="00E01098" w:rsidRPr="00996DDA">
        <w:rPr>
          <w:rFonts w:ascii="Avenir Next" w:hAnsi="Avenir Next"/>
          <w:sz w:val="22"/>
          <w:szCs w:val="22"/>
        </w:rPr>
        <w:t xml:space="preserve"> </w:t>
      </w:r>
      <w:r w:rsidR="000811FC" w:rsidRPr="00996DDA">
        <w:rPr>
          <w:rFonts w:ascii="Avenir Next" w:hAnsi="Avenir Next"/>
          <w:sz w:val="22"/>
          <w:szCs w:val="22"/>
        </w:rPr>
        <w:t>believe</w:t>
      </w:r>
      <w:r w:rsidR="00E01098" w:rsidRPr="00996DDA">
        <w:rPr>
          <w:rFonts w:ascii="Avenir Next" w:hAnsi="Avenir Next"/>
          <w:sz w:val="22"/>
          <w:szCs w:val="22"/>
        </w:rPr>
        <w:t xml:space="preserve"> degrees and certificates </w:t>
      </w:r>
      <w:r w:rsidR="003243D4" w:rsidRPr="00996DDA">
        <w:rPr>
          <w:rFonts w:ascii="Avenir Next" w:hAnsi="Avenir Next"/>
          <w:sz w:val="22"/>
          <w:szCs w:val="22"/>
        </w:rPr>
        <w:t>should</w:t>
      </w:r>
      <w:r w:rsidR="00E01098" w:rsidRPr="00996DDA">
        <w:rPr>
          <w:rFonts w:ascii="Avenir Next" w:hAnsi="Avenir Next"/>
          <w:sz w:val="22"/>
          <w:szCs w:val="22"/>
        </w:rPr>
        <w:t xml:space="preserve"> align with </w:t>
      </w:r>
      <w:r w:rsidR="000811FC" w:rsidRPr="00996DDA">
        <w:rPr>
          <w:rFonts w:ascii="Avenir Next" w:hAnsi="Avenir Next"/>
          <w:sz w:val="22"/>
          <w:szCs w:val="22"/>
        </w:rPr>
        <w:t>the skills</w:t>
      </w:r>
      <w:r w:rsidR="00E01098" w:rsidRPr="00996DDA">
        <w:rPr>
          <w:rFonts w:ascii="Avenir Next" w:hAnsi="Avenir Next"/>
          <w:sz w:val="22"/>
          <w:szCs w:val="22"/>
        </w:rPr>
        <w:t xml:space="preserve"> needed by employers, and 65</w:t>
      </w:r>
      <w:r w:rsidR="00E833EE">
        <w:rPr>
          <w:rFonts w:ascii="Avenir Next" w:hAnsi="Avenir Next"/>
          <w:sz w:val="22"/>
          <w:szCs w:val="22"/>
        </w:rPr>
        <w:t xml:space="preserve"> percent</w:t>
      </w:r>
      <w:r w:rsidR="00E01098" w:rsidRPr="00996DDA">
        <w:rPr>
          <w:rFonts w:ascii="Avenir Next" w:hAnsi="Avenir Next"/>
          <w:sz w:val="22"/>
          <w:szCs w:val="22"/>
        </w:rPr>
        <w:t xml:space="preserve"> support basing community college funding on student outcomes.</w:t>
      </w:r>
      <w:r w:rsidR="002B1283" w:rsidRPr="00996DDA">
        <w:rPr>
          <w:rFonts w:ascii="Avenir Next" w:hAnsi="Avenir Next"/>
          <w:sz w:val="22"/>
          <w:szCs w:val="22"/>
        </w:rPr>
        <w:t xml:space="preserve"> </w:t>
      </w:r>
    </w:p>
    <w:p w14:paraId="07B03DBE" w14:textId="5C7DB069" w:rsidR="00E01098" w:rsidRPr="00996DDA" w:rsidRDefault="00E01098" w:rsidP="00EB52C5">
      <w:pPr>
        <w:rPr>
          <w:rFonts w:ascii="Avenir Next" w:hAnsi="Avenir Next"/>
          <w:sz w:val="22"/>
          <w:szCs w:val="22"/>
        </w:rPr>
      </w:pPr>
    </w:p>
    <w:p w14:paraId="15585E3A" w14:textId="1E7135C6" w:rsidR="00DD25D3" w:rsidRPr="00996DDA" w:rsidRDefault="00DD25D3" w:rsidP="00EB52C5">
      <w:pPr>
        <w:rPr>
          <w:rFonts w:ascii="Avenir Next" w:hAnsi="Avenir Next"/>
          <w:sz w:val="22"/>
          <w:szCs w:val="22"/>
        </w:rPr>
      </w:pPr>
      <w:r w:rsidRPr="00996DDA">
        <w:rPr>
          <w:rFonts w:ascii="Avenir Next" w:hAnsi="Avenir Next"/>
          <w:sz w:val="22"/>
          <w:szCs w:val="22"/>
        </w:rPr>
        <w:t xml:space="preserve">Likewise, </w:t>
      </w:r>
      <w:r w:rsidR="00297A59">
        <w:rPr>
          <w:rFonts w:ascii="Avenir Next" w:hAnsi="Avenir Next"/>
          <w:sz w:val="22"/>
          <w:szCs w:val="22"/>
        </w:rPr>
        <w:t>Commission</w:t>
      </w:r>
      <w:r w:rsidR="00297A59" w:rsidRPr="00996DDA">
        <w:rPr>
          <w:rFonts w:ascii="Avenir Next" w:hAnsi="Avenir Next"/>
          <w:sz w:val="22"/>
          <w:szCs w:val="22"/>
        </w:rPr>
        <w:t xml:space="preserve"> </w:t>
      </w:r>
      <w:r w:rsidRPr="00996DDA">
        <w:rPr>
          <w:rFonts w:ascii="Avenir Next" w:hAnsi="Avenir Next"/>
          <w:sz w:val="22"/>
          <w:szCs w:val="22"/>
        </w:rPr>
        <w:t xml:space="preserve">members listened </w:t>
      </w:r>
      <w:r w:rsidR="00297A59">
        <w:rPr>
          <w:rFonts w:ascii="Avenir Next" w:hAnsi="Avenir Next"/>
          <w:sz w:val="22"/>
          <w:szCs w:val="22"/>
        </w:rPr>
        <w:t xml:space="preserve">carefully </w:t>
      </w:r>
      <w:r w:rsidRPr="00996DDA">
        <w:rPr>
          <w:rFonts w:ascii="Avenir Next" w:hAnsi="Avenir Next"/>
          <w:sz w:val="22"/>
          <w:szCs w:val="22"/>
        </w:rPr>
        <w:t xml:space="preserve">to the priorities of </w:t>
      </w:r>
      <w:r w:rsidR="00630907" w:rsidRPr="00996DDA">
        <w:rPr>
          <w:rFonts w:ascii="Avenir Next" w:hAnsi="Avenir Next"/>
          <w:sz w:val="22"/>
          <w:szCs w:val="22"/>
        </w:rPr>
        <w:t>community</w:t>
      </w:r>
      <w:r w:rsidRPr="00996DDA">
        <w:rPr>
          <w:rFonts w:ascii="Avenir Next" w:hAnsi="Avenir Next"/>
          <w:sz w:val="22"/>
          <w:szCs w:val="22"/>
        </w:rPr>
        <w:t xml:space="preserve"> college leaders</w:t>
      </w:r>
      <w:r w:rsidR="00297A59">
        <w:rPr>
          <w:rFonts w:ascii="Avenir Next" w:hAnsi="Avenir Next"/>
          <w:sz w:val="22"/>
          <w:szCs w:val="22"/>
        </w:rPr>
        <w:t>. To better understand the perspectives of small, mid-sized, and rural-serving colleges, the Texas Higher Education Foundation commissioned Jobs for the Future to work with Coordinating Board staff to engage community college leaders across the state in regional listening sessions and in-depth interviews.</w:t>
      </w:r>
    </w:p>
    <w:p w14:paraId="5CE5A53A" w14:textId="7100904A" w:rsidR="00DD25D3" w:rsidRPr="00996DDA" w:rsidRDefault="00DD25D3" w:rsidP="00EB52C5">
      <w:pPr>
        <w:rPr>
          <w:rFonts w:ascii="Avenir Next" w:hAnsi="Avenir Next"/>
          <w:sz w:val="22"/>
          <w:szCs w:val="22"/>
        </w:rPr>
      </w:pPr>
    </w:p>
    <w:p w14:paraId="60DE79D2" w14:textId="0A7613D3" w:rsidR="00F01085" w:rsidRPr="00996DDA" w:rsidRDefault="00630907" w:rsidP="00EB52C5">
      <w:pPr>
        <w:rPr>
          <w:rFonts w:ascii="Avenir Next" w:hAnsi="Avenir Next"/>
          <w:sz w:val="22"/>
          <w:szCs w:val="22"/>
        </w:rPr>
      </w:pPr>
      <w:r w:rsidRPr="00996DDA">
        <w:rPr>
          <w:rFonts w:ascii="Avenir Next" w:hAnsi="Avenir Next"/>
          <w:sz w:val="22"/>
          <w:szCs w:val="22"/>
        </w:rPr>
        <w:t>C</w:t>
      </w:r>
      <w:r w:rsidR="00E01098" w:rsidRPr="00996DDA">
        <w:rPr>
          <w:rFonts w:ascii="Avenir Next" w:hAnsi="Avenir Next"/>
          <w:sz w:val="22"/>
          <w:szCs w:val="22"/>
        </w:rPr>
        <w:t xml:space="preserve">ollege </w:t>
      </w:r>
      <w:r w:rsidR="000811FC" w:rsidRPr="00996DDA">
        <w:rPr>
          <w:rFonts w:ascii="Avenir Next" w:hAnsi="Avenir Next"/>
          <w:sz w:val="22"/>
          <w:szCs w:val="22"/>
        </w:rPr>
        <w:t xml:space="preserve">leaders who participated in </w:t>
      </w:r>
      <w:r w:rsidR="00297A59">
        <w:rPr>
          <w:rFonts w:ascii="Avenir Next" w:hAnsi="Avenir Next"/>
          <w:sz w:val="22"/>
          <w:szCs w:val="22"/>
        </w:rPr>
        <w:t xml:space="preserve">these </w:t>
      </w:r>
      <w:r w:rsidR="000811FC" w:rsidRPr="00996DDA">
        <w:rPr>
          <w:rFonts w:ascii="Avenir Next" w:hAnsi="Avenir Next"/>
          <w:sz w:val="22"/>
          <w:szCs w:val="22"/>
        </w:rPr>
        <w:t xml:space="preserve">listening sessions said their </w:t>
      </w:r>
      <w:r w:rsidR="004001C3" w:rsidRPr="00996DDA">
        <w:rPr>
          <w:rFonts w:ascii="Avenir Next" w:hAnsi="Avenir Next"/>
          <w:sz w:val="22"/>
          <w:szCs w:val="22"/>
        </w:rPr>
        <w:t>most significant</w:t>
      </w:r>
      <w:r w:rsidR="000811FC" w:rsidRPr="00996DDA">
        <w:rPr>
          <w:rFonts w:ascii="Avenir Next" w:hAnsi="Avenir Next"/>
          <w:sz w:val="22"/>
          <w:szCs w:val="22"/>
        </w:rPr>
        <w:t xml:space="preserve"> needs include expanding workforce education and training programs,</w:t>
      </w:r>
      <w:r w:rsidR="009709D1" w:rsidRPr="00996DDA">
        <w:rPr>
          <w:rFonts w:ascii="Avenir Next" w:hAnsi="Avenir Next"/>
          <w:sz w:val="22"/>
          <w:szCs w:val="22"/>
        </w:rPr>
        <w:t xml:space="preserve"> </w:t>
      </w:r>
      <w:r w:rsidR="00297A59">
        <w:rPr>
          <w:rFonts w:ascii="Avenir Next" w:hAnsi="Avenir Next"/>
          <w:sz w:val="22"/>
          <w:szCs w:val="22"/>
        </w:rPr>
        <w:t xml:space="preserve">resources to </w:t>
      </w:r>
      <w:r w:rsidR="000811FC" w:rsidRPr="00996DDA">
        <w:rPr>
          <w:rFonts w:ascii="Avenir Next" w:hAnsi="Avenir Next"/>
          <w:sz w:val="22"/>
          <w:szCs w:val="22"/>
        </w:rPr>
        <w:t>upgrad</w:t>
      </w:r>
      <w:r w:rsidR="00297A59">
        <w:rPr>
          <w:rFonts w:ascii="Avenir Next" w:hAnsi="Avenir Next"/>
          <w:sz w:val="22"/>
          <w:szCs w:val="22"/>
        </w:rPr>
        <w:t>e</w:t>
      </w:r>
      <w:r w:rsidR="009709D1" w:rsidRPr="00996DDA">
        <w:rPr>
          <w:rFonts w:ascii="Avenir Next" w:hAnsi="Avenir Next"/>
          <w:sz w:val="22"/>
          <w:szCs w:val="22"/>
        </w:rPr>
        <w:t xml:space="preserve"> </w:t>
      </w:r>
      <w:r w:rsidR="000811FC" w:rsidRPr="00996DDA">
        <w:rPr>
          <w:rFonts w:ascii="Avenir Next" w:hAnsi="Avenir Next"/>
          <w:sz w:val="22"/>
          <w:szCs w:val="22"/>
        </w:rPr>
        <w:t>facilities and equipment,</w:t>
      </w:r>
      <w:r w:rsidR="00765309">
        <w:rPr>
          <w:rFonts w:ascii="Avenir Next" w:hAnsi="Avenir Next"/>
          <w:sz w:val="22"/>
          <w:szCs w:val="22"/>
        </w:rPr>
        <w:t xml:space="preserve"> responding to</w:t>
      </w:r>
      <w:r w:rsidR="003E139D">
        <w:rPr>
          <w:rFonts w:ascii="Avenir Next" w:hAnsi="Avenir Next"/>
          <w:sz w:val="22"/>
          <w:szCs w:val="22"/>
        </w:rPr>
        <w:t xml:space="preserve"> the</w:t>
      </w:r>
      <w:r w:rsidR="000811FC" w:rsidRPr="00996DDA">
        <w:rPr>
          <w:rFonts w:ascii="Avenir Next" w:hAnsi="Avenir Next"/>
          <w:sz w:val="22"/>
          <w:szCs w:val="22"/>
        </w:rPr>
        <w:t xml:space="preserve"> </w:t>
      </w:r>
      <w:r w:rsidR="009709D1" w:rsidRPr="00996DDA">
        <w:rPr>
          <w:rFonts w:ascii="Avenir Next" w:hAnsi="Avenir Next"/>
          <w:sz w:val="22"/>
          <w:szCs w:val="22"/>
        </w:rPr>
        <w:t>expanding</w:t>
      </w:r>
      <w:r w:rsidR="00297A59">
        <w:rPr>
          <w:rFonts w:ascii="Avenir Next" w:hAnsi="Avenir Next"/>
          <w:sz w:val="22"/>
          <w:szCs w:val="22"/>
        </w:rPr>
        <w:t xml:space="preserve"> demand for</w:t>
      </w:r>
      <w:r w:rsidR="000811FC" w:rsidRPr="00996DDA">
        <w:rPr>
          <w:rFonts w:ascii="Avenir Next" w:hAnsi="Avenir Next"/>
          <w:sz w:val="22"/>
          <w:szCs w:val="22"/>
        </w:rPr>
        <w:t xml:space="preserve"> student </w:t>
      </w:r>
      <w:r w:rsidR="00297A59">
        <w:rPr>
          <w:rFonts w:ascii="Avenir Next" w:hAnsi="Avenir Next"/>
          <w:sz w:val="22"/>
          <w:szCs w:val="22"/>
        </w:rPr>
        <w:t xml:space="preserve">support </w:t>
      </w:r>
      <w:r w:rsidR="000811FC" w:rsidRPr="00996DDA">
        <w:rPr>
          <w:rFonts w:ascii="Avenir Next" w:hAnsi="Avenir Next"/>
          <w:sz w:val="22"/>
          <w:szCs w:val="22"/>
        </w:rPr>
        <w:t>services, and attracting, supporting, and retaining faculty and staff talent</w:t>
      </w:r>
      <w:r w:rsidRPr="00996DDA">
        <w:rPr>
          <w:rFonts w:ascii="Avenir Next" w:hAnsi="Avenir Next"/>
          <w:sz w:val="22"/>
          <w:szCs w:val="22"/>
        </w:rPr>
        <w:t xml:space="preserve">. </w:t>
      </w:r>
    </w:p>
    <w:p w14:paraId="1B21AF1F" w14:textId="77777777" w:rsidR="00F01085" w:rsidRPr="00996DDA" w:rsidRDefault="00F01085" w:rsidP="00EB52C5">
      <w:pPr>
        <w:rPr>
          <w:rFonts w:ascii="Avenir Next" w:hAnsi="Avenir Next"/>
          <w:sz w:val="22"/>
          <w:szCs w:val="22"/>
        </w:rPr>
      </w:pPr>
    </w:p>
    <w:p w14:paraId="1A159915" w14:textId="602B7129" w:rsidR="00566C5B" w:rsidRPr="00996DDA" w:rsidRDefault="00630907" w:rsidP="00EB52C5">
      <w:pPr>
        <w:rPr>
          <w:rFonts w:ascii="Avenir Next" w:hAnsi="Avenir Next"/>
          <w:sz w:val="22"/>
          <w:szCs w:val="22"/>
        </w:rPr>
      </w:pPr>
      <w:r w:rsidRPr="00996DDA">
        <w:rPr>
          <w:rFonts w:ascii="Avenir Next" w:hAnsi="Avenir Next"/>
          <w:sz w:val="22"/>
          <w:szCs w:val="22"/>
        </w:rPr>
        <w:t>Building on th</w:t>
      </w:r>
      <w:r w:rsidR="00F01085" w:rsidRPr="00996DDA">
        <w:rPr>
          <w:rFonts w:ascii="Avenir Next" w:hAnsi="Avenir Next"/>
          <w:sz w:val="22"/>
          <w:szCs w:val="22"/>
        </w:rPr>
        <w:t>is feedback</w:t>
      </w:r>
      <w:r w:rsidRPr="00996DDA">
        <w:rPr>
          <w:rFonts w:ascii="Avenir Next" w:hAnsi="Avenir Next"/>
          <w:sz w:val="22"/>
          <w:szCs w:val="22"/>
        </w:rPr>
        <w:t>, t</w:t>
      </w:r>
      <w:r w:rsidR="00592D0D" w:rsidRPr="00996DDA">
        <w:rPr>
          <w:rFonts w:ascii="Avenir Next" w:hAnsi="Avenir Next"/>
          <w:sz w:val="22"/>
          <w:szCs w:val="22"/>
        </w:rPr>
        <w:t>he</w:t>
      </w:r>
      <w:r w:rsidR="00566C5B" w:rsidRPr="00996DDA">
        <w:rPr>
          <w:rFonts w:ascii="Avenir Next" w:hAnsi="Avenir Next"/>
          <w:sz w:val="22"/>
          <w:szCs w:val="22"/>
        </w:rPr>
        <w:t xml:space="preserve"> </w:t>
      </w:r>
      <w:r w:rsidR="00297A59">
        <w:rPr>
          <w:rFonts w:ascii="Avenir Next" w:hAnsi="Avenir Next"/>
          <w:sz w:val="22"/>
          <w:szCs w:val="22"/>
        </w:rPr>
        <w:t>recommendations</w:t>
      </w:r>
      <w:r w:rsidR="00297A59" w:rsidRPr="00996DDA">
        <w:rPr>
          <w:rFonts w:ascii="Avenir Next" w:hAnsi="Avenir Next"/>
          <w:sz w:val="22"/>
          <w:szCs w:val="22"/>
        </w:rPr>
        <w:t xml:space="preserve"> </w:t>
      </w:r>
      <w:r w:rsidR="00592D0D" w:rsidRPr="00996DDA">
        <w:rPr>
          <w:rFonts w:ascii="Avenir Next" w:hAnsi="Avenir Next"/>
          <w:sz w:val="22"/>
          <w:szCs w:val="22"/>
        </w:rPr>
        <w:t xml:space="preserve">offered </w:t>
      </w:r>
      <w:r w:rsidRPr="00996DDA">
        <w:rPr>
          <w:rFonts w:ascii="Avenir Next" w:hAnsi="Avenir Next"/>
          <w:sz w:val="22"/>
          <w:szCs w:val="22"/>
        </w:rPr>
        <w:t>in this report</w:t>
      </w:r>
      <w:r w:rsidR="00592D0D" w:rsidRPr="00996DDA">
        <w:rPr>
          <w:rFonts w:ascii="Avenir Next" w:hAnsi="Avenir Next"/>
          <w:sz w:val="22"/>
          <w:szCs w:val="22"/>
        </w:rPr>
        <w:t xml:space="preserve"> </w:t>
      </w:r>
      <w:r w:rsidR="009E453E" w:rsidRPr="00996DDA">
        <w:rPr>
          <w:rFonts w:ascii="Avenir Next" w:hAnsi="Avenir Next"/>
          <w:sz w:val="22"/>
          <w:szCs w:val="22"/>
        </w:rPr>
        <w:t>are designed to</w:t>
      </w:r>
      <w:r w:rsidR="00566C5B" w:rsidRPr="00996DDA">
        <w:rPr>
          <w:rFonts w:ascii="Avenir Next" w:hAnsi="Avenir Next"/>
          <w:sz w:val="22"/>
          <w:szCs w:val="22"/>
        </w:rPr>
        <w:t xml:space="preserve"> expand access to educational opportunities </w:t>
      </w:r>
      <w:r w:rsidR="00A54FC9" w:rsidRPr="00996DDA">
        <w:rPr>
          <w:rFonts w:ascii="Avenir Next" w:hAnsi="Avenir Next"/>
          <w:sz w:val="22"/>
          <w:szCs w:val="22"/>
        </w:rPr>
        <w:t>provided</w:t>
      </w:r>
      <w:r w:rsidR="00566C5B" w:rsidRPr="00996DDA">
        <w:rPr>
          <w:rFonts w:ascii="Avenir Next" w:hAnsi="Avenir Next"/>
          <w:sz w:val="22"/>
          <w:szCs w:val="22"/>
        </w:rPr>
        <w:t xml:space="preserve"> through community colleges</w:t>
      </w:r>
      <w:r w:rsidR="009E453E" w:rsidRPr="00996DDA">
        <w:rPr>
          <w:rFonts w:ascii="Avenir Next" w:hAnsi="Avenir Next"/>
          <w:sz w:val="22"/>
          <w:szCs w:val="22"/>
        </w:rPr>
        <w:t xml:space="preserve"> and </w:t>
      </w:r>
      <w:r w:rsidR="00D43E70" w:rsidRPr="00996DDA">
        <w:rPr>
          <w:rFonts w:ascii="Avenir Next" w:hAnsi="Avenir Next"/>
          <w:sz w:val="22"/>
          <w:szCs w:val="22"/>
        </w:rPr>
        <w:t xml:space="preserve">to </w:t>
      </w:r>
      <w:r w:rsidRPr="00996DDA">
        <w:rPr>
          <w:rFonts w:ascii="Avenir Next" w:hAnsi="Avenir Next"/>
          <w:sz w:val="22"/>
          <w:szCs w:val="22"/>
        </w:rPr>
        <w:t>ensure</w:t>
      </w:r>
      <w:r w:rsidR="00592D0D" w:rsidRPr="00996DDA">
        <w:rPr>
          <w:rFonts w:ascii="Avenir Next" w:hAnsi="Avenir Next"/>
          <w:sz w:val="22"/>
          <w:szCs w:val="22"/>
        </w:rPr>
        <w:t xml:space="preserve"> Texas has the </w:t>
      </w:r>
      <w:r w:rsidR="00566C5B" w:rsidRPr="00996DDA">
        <w:rPr>
          <w:rFonts w:ascii="Avenir Next" w:hAnsi="Avenir Next"/>
          <w:sz w:val="22"/>
          <w:szCs w:val="22"/>
        </w:rPr>
        <w:t xml:space="preserve">talent-strong workforce </w:t>
      </w:r>
      <w:r w:rsidR="00592D0D" w:rsidRPr="00996DDA">
        <w:rPr>
          <w:rFonts w:ascii="Avenir Next" w:hAnsi="Avenir Next"/>
          <w:sz w:val="22"/>
          <w:szCs w:val="22"/>
        </w:rPr>
        <w:t>to</w:t>
      </w:r>
      <w:r w:rsidR="00566C5B" w:rsidRPr="00996DDA">
        <w:rPr>
          <w:rFonts w:ascii="Avenir Next" w:hAnsi="Avenir Next"/>
          <w:sz w:val="22"/>
          <w:szCs w:val="22"/>
        </w:rPr>
        <w:t xml:space="preserve"> </w:t>
      </w:r>
      <w:r w:rsidR="00637D95">
        <w:rPr>
          <w:rFonts w:ascii="Avenir Next" w:hAnsi="Avenir Next"/>
          <w:sz w:val="22"/>
          <w:szCs w:val="22"/>
        </w:rPr>
        <w:t>power its economic competitiveness</w:t>
      </w:r>
      <w:r w:rsidR="00566C5B" w:rsidRPr="00996DDA">
        <w:rPr>
          <w:rFonts w:ascii="Avenir Next" w:hAnsi="Avenir Next"/>
          <w:sz w:val="22"/>
          <w:szCs w:val="22"/>
        </w:rPr>
        <w:t xml:space="preserve"> </w:t>
      </w:r>
      <w:r w:rsidR="00592D0D" w:rsidRPr="00996DDA">
        <w:rPr>
          <w:rFonts w:ascii="Avenir Next" w:hAnsi="Avenir Next"/>
          <w:sz w:val="22"/>
          <w:szCs w:val="22"/>
        </w:rPr>
        <w:t>throughout the 21</w:t>
      </w:r>
      <w:r w:rsidR="00592D0D" w:rsidRPr="00996DDA">
        <w:rPr>
          <w:rFonts w:ascii="Avenir Next" w:hAnsi="Avenir Next"/>
          <w:sz w:val="22"/>
          <w:szCs w:val="22"/>
          <w:vertAlign w:val="superscript"/>
        </w:rPr>
        <w:t>st</w:t>
      </w:r>
      <w:r w:rsidR="00592D0D" w:rsidRPr="00996DDA">
        <w:rPr>
          <w:rFonts w:ascii="Avenir Next" w:hAnsi="Avenir Next"/>
          <w:sz w:val="22"/>
          <w:szCs w:val="22"/>
        </w:rPr>
        <w:t xml:space="preserve"> century</w:t>
      </w:r>
      <w:r w:rsidR="00566C5B" w:rsidRPr="00996DDA">
        <w:rPr>
          <w:rFonts w:ascii="Avenir Next" w:hAnsi="Avenir Next"/>
          <w:sz w:val="22"/>
          <w:szCs w:val="22"/>
        </w:rPr>
        <w:t>.</w:t>
      </w:r>
    </w:p>
    <w:p w14:paraId="70692309" w14:textId="0C721558" w:rsidR="00596E5B" w:rsidRPr="00996DDA" w:rsidRDefault="00596E5B" w:rsidP="00EB52C5">
      <w:pPr>
        <w:rPr>
          <w:rFonts w:ascii="Avenir Next" w:hAnsi="Avenir Next" w:cs="AppleSystemUIFont"/>
          <w:sz w:val="22"/>
          <w:szCs w:val="22"/>
        </w:rPr>
      </w:pPr>
    </w:p>
    <w:p w14:paraId="24DBC5F2" w14:textId="6E2C2425" w:rsidR="000D1F7F" w:rsidRPr="00996DDA" w:rsidRDefault="00297A59" w:rsidP="00EB52C5">
      <w:pPr>
        <w:rPr>
          <w:rFonts w:ascii="Avenir Next" w:hAnsi="Avenir Next"/>
          <w:sz w:val="22"/>
          <w:szCs w:val="22"/>
        </w:rPr>
      </w:pPr>
      <w:r>
        <w:rPr>
          <w:rFonts w:ascii="Avenir Next" w:hAnsi="Avenir Next"/>
          <w:sz w:val="22"/>
          <w:szCs w:val="22"/>
        </w:rPr>
        <w:t>The recommendations</w:t>
      </w:r>
      <w:r w:rsidRPr="00996DDA">
        <w:rPr>
          <w:rFonts w:ascii="Avenir Next" w:hAnsi="Avenir Next"/>
          <w:sz w:val="22"/>
          <w:szCs w:val="22"/>
        </w:rPr>
        <w:t xml:space="preserve"> </w:t>
      </w:r>
      <w:r>
        <w:rPr>
          <w:rFonts w:ascii="Avenir Next" w:hAnsi="Avenir Next"/>
          <w:sz w:val="22"/>
          <w:szCs w:val="22"/>
        </w:rPr>
        <w:t>are designed to advance the state’s higher education goals outlined in</w:t>
      </w:r>
      <w:r w:rsidR="00596E5B" w:rsidRPr="00996DDA">
        <w:rPr>
          <w:rFonts w:ascii="Avenir Next" w:hAnsi="Avenir Next"/>
          <w:sz w:val="22"/>
          <w:szCs w:val="22"/>
        </w:rPr>
        <w:t xml:space="preserve"> </w:t>
      </w:r>
      <w:r w:rsidR="00596E5B" w:rsidRPr="00996DDA">
        <w:rPr>
          <w:rFonts w:ascii="Avenir Next" w:hAnsi="Avenir Next"/>
          <w:i/>
          <w:iCs/>
          <w:sz w:val="22"/>
          <w:szCs w:val="22"/>
        </w:rPr>
        <w:t>Building a Talent Strong Texas</w:t>
      </w:r>
      <w:r w:rsidR="00596E5B" w:rsidRPr="00996DDA">
        <w:rPr>
          <w:rFonts w:ascii="Avenir Next" w:hAnsi="Avenir Next"/>
          <w:sz w:val="22"/>
          <w:szCs w:val="22"/>
        </w:rPr>
        <w:t>,</w:t>
      </w:r>
      <w:r w:rsidR="000D1F7F" w:rsidRPr="00996DDA">
        <w:rPr>
          <w:rFonts w:ascii="Avenir Next" w:hAnsi="Avenir Next"/>
          <w:sz w:val="22"/>
          <w:szCs w:val="22"/>
        </w:rPr>
        <w:t xml:space="preserve"> </w:t>
      </w:r>
      <w:r w:rsidR="00D43E70" w:rsidRPr="00996DDA">
        <w:rPr>
          <w:rFonts w:ascii="Avenir Next" w:hAnsi="Avenir Next"/>
          <w:sz w:val="22"/>
          <w:szCs w:val="22"/>
        </w:rPr>
        <w:t xml:space="preserve">which </w:t>
      </w:r>
      <w:r w:rsidR="007A14B3">
        <w:rPr>
          <w:rFonts w:ascii="Avenir Next" w:hAnsi="Avenir Next"/>
          <w:sz w:val="22"/>
          <w:szCs w:val="22"/>
        </w:rPr>
        <w:t>emphasizes the growing need for</w:t>
      </w:r>
      <w:r w:rsidR="007A14B3" w:rsidRPr="00996DDA">
        <w:rPr>
          <w:rFonts w:ascii="Avenir Next" w:hAnsi="Avenir Next"/>
          <w:sz w:val="22"/>
          <w:szCs w:val="22"/>
        </w:rPr>
        <w:t xml:space="preserve"> </w:t>
      </w:r>
      <w:r w:rsidR="00D43E70" w:rsidRPr="00996DDA">
        <w:rPr>
          <w:rFonts w:ascii="Avenir Next" w:hAnsi="Avenir Next"/>
          <w:sz w:val="22"/>
          <w:szCs w:val="22"/>
        </w:rPr>
        <w:t xml:space="preserve">a broad range of degrees, certificates, and other credentials </w:t>
      </w:r>
      <w:r w:rsidR="007A14B3">
        <w:rPr>
          <w:rFonts w:ascii="Avenir Next" w:hAnsi="Avenir Next"/>
          <w:sz w:val="22"/>
          <w:szCs w:val="22"/>
        </w:rPr>
        <w:t xml:space="preserve">of value </w:t>
      </w:r>
      <w:r w:rsidR="00D43E70" w:rsidRPr="00996DDA">
        <w:rPr>
          <w:rFonts w:ascii="Avenir Next" w:hAnsi="Avenir Next"/>
          <w:sz w:val="22"/>
          <w:szCs w:val="22"/>
        </w:rPr>
        <w:t xml:space="preserve">that can help both traditional students and adult learners. </w:t>
      </w:r>
      <w:r>
        <w:rPr>
          <w:rFonts w:ascii="Avenir Next" w:hAnsi="Avenir Next"/>
          <w:sz w:val="22"/>
          <w:szCs w:val="22"/>
        </w:rPr>
        <w:t>Th</w:t>
      </w:r>
      <w:r w:rsidR="00B64F01">
        <w:rPr>
          <w:rFonts w:ascii="Avenir Next" w:hAnsi="Avenir Next"/>
          <w:sz w:val="22"/>
          <w:szCs w:val="22"/>
        </w:rPr>
        <w:t>is</w:t>
      </w:r>
      <w:r w:rsidRPr="00996DDA">
        <w:rPr>
          <w:rFonts w:ascii="Avenir Next" w:hAnsi="Avenir Next"/>
          <w:sz w:val="22"/>
          <w:szCs w:val="22"/>
        </w:rPr>
        <w:t xml:space="preserve"> </w:t>
      </w:r>
      <w:r w:rsidR="00D43E70" w:rsidRPr="00996DDA">
        <w:rPr>
          <w:rFonts w:ascii="Avenir Next" w:hAnsi="Avenir Next"/>
          <w:sz w:val="22"/>
          <w:szCs w:val="22"/>
        </w:rPr>
        <w:t>strategic plan</w:t>
      </w:r>
      <w:r w:rsidR="00B64F01">
        <w:rPr>
          <w:rFonts w:ascii="Avenir Next" w:hAnsi="Avenir Next"/>
          <w:sz w:val="22"/>
          <w:szCs w:val="22"/>
        </w:rPr>
        <w:t>, which was adopted by the Coordinating Board in January 2022,</w:t>
      </w:r>
      <w:r w:rsidR="00D43E70" w:rsidRPr="00996DDA">
        <w:rPr>
          <w:rFonts w:ascii="Avenir Next" w:hAnsi="Avenir Next"/>
          <w:sz w:val="22"/>
          <w:szCs w:val="22"/>
        </w:rPr>
        <w:t xml:space="preserve"> </w:t>
      </w:r>
      <w:r>
        <w:rPr>
          <w:rFonts w:ascii="Avenir Next" w:hAnsi="Avenir Next"/>
          <w:sz w:val="22"/>
          <w:szCs w:val="22"/>
        </w:rPr>
        <w:t>includes a strong emphasis on</w:t>
      </w:r>
      <w:r w:rsidR="00B64F01">
        <w:rPr>
          <w:rFonts w:ascii="Avenir Next" w:hAnsi="Avenir Next"/>
          <w:sz w:val="22"/>
          <w:szCs w:val="22"/>
        </w:rPr>
        <w:t xml:space="preserve"> the need to increase the numbers and diversity of Texas students who complete</w:t>
      </w:r>
      <w:r w:rsidR="000D1F7F" w:rsidRPr="00996DDA">
        <w:rPr>
          <w:rFonts w:ascii="Avenir Next" w:hAnsi="Avenir Next"/>
          <w:sz w:val="22"/>
          <w:szCs w:val="22"/>
        </w:rPr>
        <w:t xml:space="preserve"> credentials of value </w:t>
      </w:r>
      <w:r w:rsidR="00B64F01">
        <w:rPr>
          <w:rFonts w:ascii="Avenir Next" w:hAnsi="Avenir Next"/>
          <w:sz w:val="22"/>
          <w:szCs w:val="22"/>
        </w:rPr>
        <w:t>without incurring high</w:t>
      </w:r>
      <w:r w:rsidR="000D1F7F" w:rsidRPr="00996DDA">
        <w:rPr>
          <w:rFonts w:ascii="Avenir Next" w:hAnsi="Avenir Next"/>
          <w:sz w:val="22"/>
          <w:szCs w:val="22"/>
        </w:rPr>
        <w:t xml:space="preserve"> </w:t>
      </w:r>
      <w:r w:rsidR="00B64F01">
        <w:rPr>
          <w:rFonts w:ascii="Avenir Next" w:hAnsi="Avenir Next"/>
          <w:sz w:val="22"/>
          <w:szCs w:val="22"/>
        </w:rPr>
        <w:t xml:space="preserve">student </w:t>
      </w:r>
      <w:r w:rsidR="000D1F7F" w:rsidRPr="00996DDA">
        <w:rPr>
          <w:rFonts w:ascii="Avenir Next" w:hAnsi="Avenir Next"/>
          <w:sz w:val="22"/>
          <w:szCs w:val="22"/>
        </w:rPr>
        <w:t>debt</w:t>
      </w:r>
      <w:r w:rsidR="00630907" w:rsidRPr="00996DDA">
        <w:rPr>
          <w:rFonts w:ascii="Avenir Next" w:hAnsi="Avenir Next"/>
          <w:sz w:val="22"/>
          <w:szCs w:val="22"/>
        </w:rPr>
        <w:t xml:space="preserve">. </w:t>
      </w:r>
      <w:r w:rsidR="00B64F01">
        <w:rPr>
          <w:rFonts w:ascii="Avenir Next" w:hAnsi="Avenir Next"/>
          <w:sz w:val="22"/>
          <w:szCs w:val="22"/>
        </w:rPr>
        <w:t>The plan</w:t>
      </w:r>
      <w:r w:rsidR="00B64F01" w:rsidRPr="00996DDA">
        <w:rPr>
          <w:rFonts w:ascii="Avenir Next" w:hAnsi="Avenir Next"/>
          <w:sz w:val="22"/>
          <w:szCs w:val="22"/>
        </w:rPr>
        <w:t xml:space="preserve"> </w:t>
      </w:r>
      <w:r w:rsidR="00630907" w:rsidRPr="00996DDA">
        <w:rPr>
          <w:rFonts w:ascii="Avenir Next" w:hAnsi="Avenir Next"/>
          <w:sz w:val="22"/>
          <w:szCs w:val="22"/>
        </w:rPr>
        <w:t xml:space="preserve">also </w:t>
      </w:r>
      <w:r w:rsidR="000D1F7F" w:rsidRPr="00996DDA">
        <w:rPr>
          <w:rFonts w:ascii="Avenir Next" w:hAnsi="Avenir Next"/>
          <w:sz w:val="22"/>
          <w:szCs w:val="22"/>
        </w:rPr>
        <w:t>recognize</w:t>
      </w:r>
      <w:r w:rsidR="00D43E70" w:rsidRPr="00996DDA">
        <w:rPr>
          <w:rFonts w:ascii="Avenir Next" w:hAnsi="Avenir Next"/>
          <w:sz w:val="22"/>
          <w:szCs w:val="22"/>
        </w:rPr>
        <w:t>s</w:t>
      </w:r>
      <w:r w:rsidR="000D1F7F" w:rsidRPr="00996DDA">
        <w:rPr>
          <w:rFonts w:ascii="Avenir Next" w:hAnsi="Avenir Next"/>
          <w:sz w:val="22"/>
          <w:szCs w:val="22"/>
        </w:rPr>
        <w:t xml:space="preserve"> the need </w:t>
      </w:r>
      <w:r w:rsidR="00D43E70" w:rsidRPr="00996DDA">
        <w:rPr>
          <w:rFonts w:ascii="Avenir Next" w:hAnsi="Avenir Next"/>
          <w:sz w:val="22"/>
          <w:szCs w:val="22"/>
        </w:rPr>
        <w:t>to</w:t>
      </w:r>
      <w:r w:rsidR="000D1F7F" w:rsidRPr="00996DDA">
        <w:rPr>
          <w:rFonts w:ascii="Avenir Next" w:hAnsi="Avenir Next"/>
          <w:sz w:val="22"/>
          <w:szCs w:val="22"/>
        </w:rPr>
        <w:t xml:space="preserve"> </w:t>
      </w:r>
      <w:r w:rsidR="00B64F01">
        <w:rPr>
          <w:rFonts w:ascii="Avenir Next" w:hAnsi="Avenir Next"/>
          <w:sz w:val="22"/>
          <w:szCs w:val="22"/>
        </w:rPr>
        <w:t>advance educational attainment</w:t>
      </w:r>
      <w:r w:rsidR="000D1F7F" w:rsidRPr="00996DDA">
        <w:rPr>
          <w:rFonts w:ascii="Avenir Next" w:hAnsi="Avenir Next"/>
          <w:sz w:val="22"/>
          <w:szCs w:val="22"/>
        </w:rPr>
        <w:t xml:space="preserve"> equitably across race, gender, income level</w:t>
      </w:r>
      <w:r w:rsidR="00B64F01">
        <w:rPr>
          <w:rFonts w:ascii="Avenir Next" w:hAnsi="Avenir Next"/>
          <w:sz w:val="22"/>
          <w:szCs w:val="22"/>
        </w:rPr>
        <w:t>s</w:t>
      </w:r>
      <w:r w:rsidR="000D1F7F" w:rsidRPr="00996DDA">
        <w:rPr>
          <w:rFonts w:ascii="Avenir Next" w:hAnsi="Avenir Next"/>
          <w:sz w:val="22"/>
          <w:szCs w:val="22"/>
        </w:rPr>
        <w:t>, and geographic area</w:t>
      </w:r>
      <w:r w:rsidR="00B64F01">
        <w:rPr>
          <w:rFonts w:ascii="Avenir Next" w:hAnsi="Avenir Next"/>
          <w:sz w:val="22"/>
          <w:szCs w:val="22"/>
        </w:rPr>
        <w:t>s</w:t>
      </w:r>
      <w:r w:rsidR="000D1F7F" w:rsidRPr="00996DDA">
        <w:rPr>
          <w:rFonts w:ascii="Avenir Next" w:hAnsi="Avenir Next"/>
          <w:sz w:val="22"/>
          <w:szCs w:val="22"/>
        </w:rPr>
        <w:t>.</w:t>
      </w:r>
    </w:p>
    <w:p w14:paraId="2C8BB75C" w14:textId="77777777" w:rsidR="000D1F7F" w:rsidRPr="00996DDA" w:rsidRDefault="000D1F7F" w:rsidP="00EB52C5">
      <w:pPr>
        <w:rPr>
          <w:rFonts w:ascii="Avenir Next" w:hAnsi="Avenir Next"/>
          <w:sz w:val="22"/>
          <w:szCs w:val="22"/>
        </w:rPr>
      </w:pPr>
    </w:p>
    <w:p w14:paraId="46FCC8DD" w14:textId="39A83A09" w:rsidR="00596E5B" w:rsidRPr="00996DDA" w:rsidRDefault="00B64F01" w:rsidP="00EB52C5">
      <w:pPr>
        <w:rPr>
          <w:rFonts w:ascii="Avenir Next" w:hAnsi="Avenir Next"/>
          <w:sz w:val="22"/>
          <w:szCs w:val="22"/>
        </w:rPr>
      </w:pPr>
      <w:r>
        <w:rPr>
          <w:rFonts w:ascii="Avenir Next" w:hAnsi="Avenir Next"/>
          <w:sz w:val="22"/>
          <w:szCs w:val="22"/>
        </w:rPr>
        <w:t>Consistent with the bold vision of</w:t>
      </w:r>
      <w:r w:rsidRPr="00996DDA">
        <w:rPr>
          <w:rFonts w:ascii="Avenir Next" w:hAnsi="Avenir Next"/>
          <w:sz w:val="22"/>
          <w:szCs w:val="22"/>
        </w:rPr>
        <w:t xml:space="preserve"> </w:t>
      </w:r>
      <w:r w:rsidR="00D43E70" w:rsidRPr="00996DDA">
        <w:rPr>
          <w:rFonts w:ascii="Avenir Next" w:hAnsi="Avenir Next"/>
          <w:i/>
          <w:iCs/>
          <w:sz w:val="22"/>
          <w:szCs w:val="22"/>
        </w:rPr>
        <w:t>Building a Talent Strong Texas</w:t>
      </w:r>
      <w:r w:rsidR="00D43E70" w:rsidRPr="00996DDA">
        <w:rPr>
          <w:rFonts w:ascii="Avenir Next" w:hAnsi="Avenir Next"/>
          <w:sz w:val="22"/>
          <w:szCs w:val="22"/>
        </w:rPr>
        <w:t xml:space="preserve">, </w:t>
      </w:r>
      <w:r>
        <w:rPr>
          <w:rFonts w:ascii="Avenir Next" w:hAnsi="Avenir Next"/>
          <w:sz w:val="22"/>
          <w:szCs w:val="22"/>
        </w:rPr>
        <w:t>the Commission’s</w:t>
      </w:r>
      <w:r w:rsidR="00630907" w:rsidRPr="00996DDA">
        <w:rPr>
          <w:rFonts w:ascii="Avenir Next" w:hAnsi="Avenir Next"/>
          <w:sz w:val="22"/>
          <w:szCs w:val="22"/>
        </w:rPr>
        <w:t xml:space="preserve"> </w:t>
      </w:r>
      <w:r w:rsidR="00D43E70" w:rsidRPr="00996DDA">
        <w:rPr>
          <w:rFonts w:ascii="Avenir Next" w:hAnsi="Avenir Next"/>
          <w:sz w:val="22"/>
          <w:szCs w:val="22"/>
        </w:rPr>
        <w:t xml:space="preserve">recommendations for a new community college funding model </w:t>
      </w:r>
      <w:r w:rsidR="00D97295" w:rsidRPr="00996DDA">
        <w:rPr>
          <w:rFonts w:ascii="Avenir Next" w:hAnsi="Avenir Next"/>
          <w:sz w:val="22"/>
          <w:szCs w:val="22"/>
        </w:rPr>
        <w:t>will leverage</w:t>
      </w:r>
      <w:r w:rsidR="00596E5B" w:rsidRPr="00996DDA">
        <w:rPr>
          <w:rFonts w:ascii="Avenir Next" w:hAnsi="Avenir Next"/>
          <w:sz w:val="22"/>
          <w:szCs w:val="22"/>
        </w:rPr>
        <w:t xml:space="preserve"> Texas</w:t>
      </w:r>
      <w:r w:rsidR="000D1F7F" w:rsidRPr="00996DDA">
        <w:rPr>
          <w:rFonts w:ascii="Avenir Next" w:hAnsi="Avenir Next"/>
          <w:sz w:val="22"/>
          <w:szCs w:val="22"/>
        </w:rPr>
        <w:t>’</w:t>
      </w:r>
      <w:r w:rsidR="00596E5B" w:rsidRPr="00996DDA">
        <w:rPr>
          <w:rFonts w:ascii="Avenir Next" w:hAnsi="Avenir Next"/>
          <w:sz w:val="22"/>
          <w:szCs w:val="22"/>
        </w:rPr>
        <w:t xml:space="preserve"> </w:t>
      </w:r>
      <w:r w:rsidR="00D97295" w:rsidRPr="00996DDA">
        <w:rPr>
          <w:rFonts w:ascii="Avenir Next" w:hAnsi="Avenir Next"/>
          <w:sz w:val="22"/>
          <w:szCs w:val="22"/>
        </w:rPr>
        <w:t>national leadership in creating jobs and developing a talented</w:t>
      </w:r>
      <w:r w:rsidR="00630907" w:rsidRPr="00996DDA">
        <w:rPr>
          <w:rFonts w:ascii="Avenir Next" w:hAnsi="Avenir Next"/>
          <w:sz w:val="22"/>
          <w:szCs w:val="22"/>
        </w:rPr>
        <w:t xml:space="preserve"> </w:t>
      </w:r>
      <w:r w:rsidR="00D97295" w:rsidRPr="00996DDA">
        <w:rPr>
          <w:rFonts w:ascii="Avenir Next" w:hAnsi="Avenir Next"/>
          <w:sz w:val="22"/>
          <w:szCs w:val="22"/>
        </w:rPr>
        <w:t xml:space="preserve">workforce. </w:t>
      </w:r>
      <w:r w:rsidR="006C060B" w:rsidRPr="00996DDA">
        <w:rPr>
          <w:rFonts w:ascii="Avenir Next" w:hAnsi="Avenir Next"/>
          <w:sz w:val="22"/>
          <w:szCs w:val="22"/>
        </w:rPr>
        <w:t>T</w:t>
      </w:r>
      <w:r w:rsidR="00D97295" w:rsidRPr="00996DDA">
        <w:rPr>
          <w:rFonts w:ascii="Avenir Next" w:hAnsi="Avenir Next"/>
          <w:sz w:val="22"/>
          <w:szCs w:val="22"/>
        </w:rPr>
        <w:t>he</w:t>
      </w:r>
      <w:r w:rsidR="00630907" w:rsidRPr="00996DDA">
        <w:rPr>
          <w:rFonts w:ascii="Avenir Next" w:hAnsi="Avenir Next"/>
          <w:sz w:val="22"/>
          <w:szCs w:val="22"/>
        </w:rPr>
        <w:t xml:space="preserve"> </w:t>
      </w:r>
      <w:r>
        <w:rPr>
          <w:rFonts w:ascii="Avenir Next" w:hAnsi="Avenir Next"/>
          <w:sz w:val="22"/>
          <w:szCs w:val="22"/>
        </w:rPr>
        <w:t>proposed</w:t>
      </w:r>
      <w:r w:rsidRPr="00996DDA">
        <w:rPr>
          <w:rFonts w:ascii="Avenir Next" w:hAnsi="Avenir Next"/>
          <w:sz w:val="22"/>
          <w:szCs w:val="22"/>
        </w:rPr>
        <w:t xml:space="preserve"> </w:t>
      </w:r>
      <w:r w:rsidR="00630907" w:rsidRPr="00996DDA">
        <w:rPr>
          <w:rFonts w:ascii="Avenir Next" w:hAnsi="Avenir Next"/>
          <w:sz w:val="22"/>
          <w:szCs w:val="22"/>
        </w:rPr>
        <w:t xml:space="preserve">funding model </w:t>
      </w:r>
      <w:r w:rsidR="00D97295" w:rsidRPr="00996DDA">
        <w:rPr>
          <w:rFonts w:ascii="Avenir Next" w:hAnsi="Avenir Next"/>
          <w:sz w:val="22"/>
          <w:szCs w:val="22"/>
        </w:rPr>
        <w:t xml:space="preserve">will </w:t>
      </w:r>
      <w:r w:rsidR="006C060B" w:rsidRPr="00996DDA">
        <w:rPr>
          <w:rFonts w:ascii="Avenir Next" w:hAnsi="Avenir Next"/>
          <w:sz w:val="22"/>
          <w:szCs w:val="22"/>
        </w:rPr>
        <w:t xml:space="preserve">address </w:t>
      </w:r>
      <w:r>
        <w:rPr>
          <w:rFonts w:ascii="Avenir Next" w:hAnsi="Avenir Next" w:cstheme="minorHAnsi"/>
          <w:sz w:val="22"/>
          <w:szCs w:val="22"/>
        </w:rPr>
        <w:t xml:space="preserve">structural </w:t>
      </w:r>
      <w:r w:rsidR="00996DDA" w:rsidRPr="00996DDA">
        <w:rPr>
          <w:rFonts w:ascii="Avenir Next" w:hAnsi="Avenir Next" w:cstheme="minorHAnsi"/>
          <w:sz w:val="22"/>
          <w:szCs w:val="22"/>
        </w:rPr>
        <w:t xml:space="preserve">shortcomings </w:t>
      </w:r>
      <w:r>
        <w:rPr>
          <w:rFonts w:ascii="Avenir Next" w:hAnsi="Avenir Next" w:cstheme="minorHAnsi"/>
          <w:sz w:val="22"/>
          <w:szCs w:val="22"/>
        </w:rPr>
        <w:t xml:space="preserve">in the current community college finance system </w:t>
      </w:r>
      <w:r w:rsidR="00996DDA" w:rsidRPr="00996DDA">
        <w:rPr>
          <w:rFonts w:ascii="Avenir Next" w:hAnsi="Avenir Next" w:cstheme="minorHAnsi"/>
          <w:sz w:val="22"/>
          <w:szCs w:val="22"/>
        </w:rPr>
        <w:t xml:space="preserve">that evolved over the course of decades and </w:t>
      </w:r>
      <w:r>
        <w:rPr>
          <w:rFonts w:ascii="Avenir Next" w:hAnsi="Avenir Next" w:cstheme="minorHAnsi"/>
          <w:sz w:val="22"/>
          <w:szCs w:val="22"/>
        </w:rPr>
        <w:t xml:space="preserve">expand opportunities across the state for individual Texans to participate in, contribute to, and benefit from our state economy. </w:t>
      </w:r>
    </w:p>
    <w:p w14:paraId="4FAD62C3" w14:textId="77777777" w:rsidR="00596E5B" w:rsidRPr="00996DDA" w:rsidRDefault="00596E5B" w:rsidP="00EB52C5">
      <w:pPr>
        <w:rPr>
          <w:rFonts w:ascii="Avenir Next" w:hAnsi="Avenir Next"/>
          <w:sz w:val="22"/>
          <w:szCs w:val="22"/>
        </w:rPr>
      </w:pPr>
    </w:p>
    <w:p w14:paraId="332E4BFA" w14:textId="22069E2D" w:rsidR="00364BB8" w:rsidRPr="00996DDA" w:rsidRDefault="008E512A" w:rsidP="00EB52C5">
      <w:pPr>
        <w:rPr>
          <w:rFonts w:ascii="Avenir Next" w:hAnsi="Avenir Next"/>
          <w:sz w:val="22"/>
          <w:szCs w:val="22"/>
        </w:rPr>
      </w:pPr>
      <w:r w:rsidRPr="00996DDA">
        <w:rPr>
          <w:rFonts w:ascii="Avenir Next" w:eastAsia="Times New Roman" w:hAnsi="Avenir Next" w:cs="Calibri"/>
          <w:color w:val="000000"/>
          <w:sz w:val="22"/>
          <w:szCs w:val="22"/>
        </w:rPr>
        <w:t> </w:t>
      </w:r>
      <w:r w:rsidR="00364BB8" w:rsidRPr="00996DDA">
        <w:rPr>
          <w:rFonts w:ascii="Avenir Next" w:hAnsi="Avenir Next"/>
          <w:sz w:val="22"/>
          <w:szCs w:val="22"/>
        </w:rPr>
        <w:t xml:space="preserve">The recommendations outlined in the following pages are laid out in three broad categories: </w:t>
      </w:r>
    </w:p>
    <w:p w14:paraId="681EDD28" w14:textId="77777777" w:rsidR="00364BB8" w:rsidRPr="00996DDA" w:rsidRDefault="00364BB8" w:rsidP="00EB52C5">
      <w:pPr>
        <w:rPr>
          <w:rFonts w:ascii="Avenir Next" w:hAnsi="Avenir Next"/>
          <w:sz w:val="22"/>
          <w:szCs w:val="22"/>
        </w:rPr>
      </w:pPr>
    </w:p>
    <w:p w14:paraId="779C2F46" w14:textId="196974D2" w:rsidR="00364BB8" w:rsidRPr="00996DDA" w:rsidRDefault="00364BB8" w:rsidP="00EB52C5">
      <w:pPr>
        <w:pStyle w:val="ListParagraph"/>
        <w:numPr>
          <w:ilvl w:val="0"/>
          <w:numId w:val="6"/>
        </w:numPr>
        <w:rPr>
          <w:rFonts w:ascii="Avenir Next" w:hAnsi="Avenir Next"/>
          <w:b/>
          <w:bCs/>
          <w:sz w:val="22"/>
          <w:szCs w:val="22"/>
        </w:rPr>
      </w:pPr>
      <w:r w:rsidRPr="00996DDA">
        <w:rPr>
          <w:rFonts w:ascii="Avenir Next" w:hAnsi="Avenir Next"/>
          <w:b/>
          <w:bCs/>
          <w:sz w:val="22"/>
          <w:szCs w:val="22"/>
        </w:rPr>
        <w:t>State funding for outcomes</w:t>
      </w:r>
    </w:p>
    <w:p w14:paraId="31B61EDB" w14:textId="1ED81F4F" w:rsidR="00364BB8" w:rsidRPr="00996DDA" w:rsidRDefault="00364BB8" w:rsidP="00EB52C5">
      <w:pPr>
        <w:pStyle w:val="ListParagraph"/>
        <w:numPr>
          <w:ilvl w:val="0"/>
          <w:numId w:val="6"/>
        </w:numPr>
        <w:rPr>
          <w:rFonts w:ascii="Avenir Next" w:hAnsi="Avenir Next"/>
          <w:b/>
          <w:bCs/>
          <w:sz w:val="22"/>
          <w:szCs w:val="22"/>
        </w:rPr>
      </w:pPr>
      <w:r w:rsidRPr="00996DDA">
        <w:rPr>
          <w:rFonts w:ascii="Avenir Next" w:hAnsi="Avenir Next"/>
          <w:b/>
          <w:bCs/>
          <w:sz w:val="22"/>
          <w:szCs w:val="22"/>
        </w:rPr>
        <w:t xml:space="preserve">Student affordability </w:t>
      </w:r>
    </w:p>
    <w:p w14:paraId="10DCCD5D" w14:textId="7DD6FE19" w:rsidR="008D76C0" w:rsidRPr="00996DDA" w:rsidRDefault="00364BB8" w:rsidP="00EB52C5">
      <w:pPr>
        <w:pStyle w:val="ListParagraph"/>
        <w:numPr>
          <w:ilvl w:val="0"/>
          <w:numId w:val="6"/>
        </w:numPr>
        <w:rPr>
          <w:rFonts w:ascii="Avenir Next" w:hAnsi="Avenir Next"/>
          <w:b/>
          <w:bCs/>
          <w:sz w:val="22"/>
          <w:szCs w:val="22"/>
        </w:rPr>
      </w:pPr>
      <w:r w:rsidRPr="00996DDA">
        <w:rPr>
          <w:rFonts w:ascii="Avenir Next" w:hAnsi="Avenir Next"/>
          <w:b/>
          <w:bCs/>
          <w:sz w:val="22"/>
          <w:szCs w:val="22"/>
        </w:rPr>
        <w:t xml:space="preserve">Targeted investments in college capacity  </w:t>
      </w:r>
    </w:p>
    <w:p w14:paraId="3E0C6DA4" w14:textId="7A32932E" w:rsidR="00364BB8" w:rsidRPr="00996DDA" w:rsidRDefault="008D76C0" w:rsidP="00EB52C5">
      <w:pPr>
        <w:rPr>
          <w:rFonts w:ascii="Avenir Next" w:hAnsi="Avenir Next"/>
          <w:b/>
          <w:bCs/>
          <w:sz w:val="22"/>
          <w:szCs w:val="22"/>
        </w:rPr>
      </w:pPr>
      <w:r w:rsidRPr="00996DDA">
        <w:rPr>
          <w:rFonts w:ascii="Avenir Next" w:hAnsi="Avenir Next"/>
          <w:b/>
          <w:bCs/>
          <w:sz w:val="22"/>
          <w:szCs w:val="22"/>
        </w:rPr>
        <w:br w:type="page"/>
      </w:r>
    </w:p>
    <w:p w14:paraId="292DA5AB" w14:textId="74D674C5" w:rsidR="008E61E5" w:rsidRPr="00727D43" w:rsidRDefault="008E61E5" w:rsidP="00EB52C5">
      <w:pPr>
        <w:rPr>
          <w:rFonts w:ascii="Avenir Next" w:hAnsi="Avenir Next"/>
          <w:strike/>
        </w:rPr>
      </w:pPr>
    </w:p>
    <w:p w14:paraId="624AAE90" w14:textId="25FAC25C" w:rsidR="008D76C0" w:rsidRPr="00727D43" w:rsidRDefault="008D76C0" w:rsidP="00EB52C5">
      <w:pPr>
        <w:pStyle w:val="Heading1"/>
        <w:jc w:val="center"/>
        <w:rPr>
          <w:rFonts w:ascii="Avenir Next" w:hAnsi="Avenir Next"/>
          <w:b/>
          <w:bCs/>
        </w:rPr>
      </w:pPr>
      <w:bookmarkStart w:id="15" w:name="_Recommendations"/>
      <w:bookmarkEnd w:id="15"/>
      <w:r w:rsidRPr="00727D43">
        <w:rPr>
          <w:rFonts w:ascii="Avenir Next" w:hAnsi="Avenir Next"/>
          <w:b/>
          <w:bCs/>
        </w:rPr>
        <w:t>Recommendations</w:t>
      </w:r>
    </w:p>
    <w:p w14:paraId="252F8995" w14:textId="629A1941" w:rsidR="008E61E5" w:rsidRPr="00727D43" w:rsidRDefault="00E60D3B" w:rsidP="00EA06A1">
      <w:pPr>
        <w:pStyle w:val="Heading1"/>
        <w:numPr>
          <w:ilvl w:val="0"/>
          <w:numId w:val="11"/>
        </w:numPr>
        <w:rPr>
          <w:rFonts w:ascii="Avenir Next" w:eastAsia="Avenir Next LT Pro" w:hAnsi="Avenir Next" w:cs="Avenir Next LT Pro"/>
          <w:b/>
          <w:bCs/>
        </w:rPr>
      </w:pPr>
      <w:bookmarkStart w:id="16" w:name="_RECOMMENDATIONS:_State_Funding"/>
      <w:bookmarkEnd w:id="16"/>
      <w:r>
        <w:rPr>
          <w:rFonts w:ascii="Avenir Next" w:eastAsia="Avenir Next LT Pro" w:hAnsi="Avenir Next" w:cs="Avenir Next LT Pro"/>
          <w:b/>
          <w:bCs/>
        </w:rPr>
        <w:t xml:space="preserve">RECOMMENDATIONS: </w:t>
      </w:r>
      <w:r w:rsidR="008E61E5" w:rsidRPr="00727D43">
        <w:rPr>
          <w:rFonts w:ascii="Avenir Next" w:eastAsia="Avenir Next LT Pro" w:hAnsi="Avenir Next" w:cs="Avenir Next LT Pro"/>
          <w:b/>
          <w:bCs/>
        </w:rPr>
        <w:t>State Funding for Outcomes</w:t>
      </w:r>
    </w:p>
    <w:p w14:paraId="2BAFA45C" w14:textId="77777777" w:rsidR="008E61E5" w:rsidRPr="00727D43" w:rsidRDefault="008E61E5" w:rsidP="00EB52C5">
      <w:pPr>
        <w:autoSpaceDE w:val="0"/>
        <w:autoSpaceDN w:val="0"/>
        <w:adjustRightInd w:val="0"/>
        <w:rPr>
          <w:rFonts w:ascii="Avenir Next" w:eastAsia="Avenir Next LT Pro" w:hAnsi="Avenir Next" w:cs="Avenir Next LT Pro"/>
          <w:b/>
          <w:bCs/>
          <w:color w:val="2F5496" w:themeColor="accent1" w:themeShade="BF"/>
          <w:sz w:val="22"/>
          <w:szCs w:val="22"/>
        </w:rPr>
      </w:pPr>
    </w:p>
    <w:p w14:paraId="0C413684" w14:textId="7353BC94" w:rsidR="008E61E5" w:rsidRPr="00727D43" w:rsidRDefault="008E61E5" w:rsidP="00EB52C5">
      <w:pPr>
        <w:autoSpaceDE w:val="0"/>
        <w:autoSpaceDN w:val="0"/>
        <w:adjustRightInd w:val="0"/>
        <w:rPr>
          <w:rFonts w:ascii="Avenir Next" w:eastAsia="Avenir Next LT Pro" w:hAnsi="Avenir Next" w:cs="Avenir Next LT Pro"/>
          <w:color w:val="212529"/>
          <w:sz w:val="22"/>
          <w:szCs w:val="22"/>
        </w:rPr>
      </w:pPr>
      <w:r w:rsidRPr="00727D43">
        <w:rPr>
          <w:rFonts w:ascii="Avenir Next" w:eastAsia="Avenir Next LT Pro" w:hAnsi="Avenir Next" w:cs="Avenir Next LT Pro"/>
          <w:b/>
          <w:bCs/>
          <w:color w:val="2F5496" w:themeColor="accent1" w:themeShade="BF"/>
          <w:sz w:val="22"/>
          <w:szCs w:val="22"/>
        </w:rPr>
        <w:t>Recommendation 1.1:</w:t>
      </w:r>
      <w:r w:rsidRPr="00727D43">
        <w:rPr>
          <w:rFonts w:ascii="Avenir Next" w:eastAsia="Avenir Next LT Pro" w:hAnsi="Avenir Next" w:cs="Avenir Next LT Pro"/>
          <w:color w:val="2F5496" w:themeColor="accent1" w:themeShade="BF"/>
          <w:sz w:val="22"/>
          <w:szCs w:val="22"/>
        </w:rPr>
        <w:t xml:space="preserve"> </w:t>
      </w:r>
      <w:r w:rsidRPr="00727D43">
        <w:rPr>
          <w:rFonts w:ascii="Avenir Next" w:eastAsia="Avenir Next LT Pro" w:hAnsi="Avenir Next" w:cs="Avenir Next LT Pro"/>
          <w:sz w:val="22"/>
          <w:szCs w:val="22"/>
        </w:rPr>
        <w:t>Develop</w:t>
      </w:r>
      <w:r w:rsidRPr="00727D43">
        <w:rPr>
          <w:rFonts w:ascii="Avenir Next" w:eastAsia="Avenir Next LT Pro" w:hAnsi="Avenir Next" w:cs="Avenir Next LT Pro"/>
          <w:color w:val="212529"/>
          <w:sz w:val="22"/>
          <w:szCs w:val="22"/>
        </w:rPr>
        <w:t xml:space="preserve"> a modern community college finance model that distributes the majority of state funding based on </w:t>
      </w:r>
      <w:r w:rsidRPr="00727D43">
        <w:rPr>
          <w:rFonts w:ascii="Avenir Next" w:eastAsia="Avenir Next LT Pro" w:hAnsi="Avenir Next" w:cs="Avenir Next LT Pro"/>
          <w:b/>
          <w:bCs/>
          <w:color w:val="212529"/>
          <w:sz w:val="22"/>
          <w:szCs w:val="22"/>
        </w:rPr>
        <w:t>measurable</w:t>
      </w:r>
      <w:r w:rsidRPr="00727D43">
        <w:rPr>
          <w:rFonts w:ascii="Avenir Next" w:eastAsia="Avenir Next LT Pro" w:hAnsi="Avenir Next" w:cs="Avenir Next LT Pro"/>
          <w:color w:val="212529"/>
          <w:sz w:val="22"/>
          <w:szCs w:val="22"/>
        </w:rPr>
        <w:t xml:space="preserve"> </w:t>
      </w:r>
      <w:r w:rsidRPr="00727D43">
        <w:rPr>
          <w:rFonts w:ascii="Avenir Next" w:eastAsia="Avenir Next LT Pro" w:hAnsi="Avenir Next" w:cs="Avenir Next LT Pro"/>
          <w:b/>
          <w:bCs/>
          <w:color w:val="212529"/>
          <w:sz w:val="22"/>
          <w:szCs w:val="22"/>
        </w:rPr>
        <w:t xml:space="preserve">outcomes </w:t>
      </w:r>
      <w:r w:rsidRPr="00727D43">
        <w:rPr>
          <w:rFonts w:ascii="Avenir Next" w:eastAsia="Avenir Next LT Pro" w:hAnsi="Avenir Next" w:cs="Avenir Next LT Pro"/>
          <w:color w:val="212529"/>
          <w:sz w:val="22"/>
          <w:szCs w:val="22"/>
        </w:rPr>
        <w:t xml:space="preserve">aligned with regional and state workforce needs and state goals for </w:t>
      </w:r>
      <w:r w:rsidRPr="00727D43">
        <w:rPr>
          <w:rFonts w:ascii="Avenir Next" w:eastAsia="Avenir Next LT Pro" w:hAnsi="Avenir Next" w:cs="Avenir Next LT Pro"/>
          <w:i/>
          <w:iCs/>
          <w:color w:val="212529"/>
          <w:sz w:val="22"/>
          <w:szCs w:val="22"/>
        </w:rPr>
        <w:t>Building a Talent Strong Texas</w:t>
      </w:r>
      <w:r w:rsidRPr="00727D43">
        <w:rPr>
          <w:rFonts w:ascii="Avenir Next" w:eastAsia="Avenir Next LT Pro" w:hAnsi="Avenir Next" w:cs="Avenir Next LT Pro"/>
          <w:color w:val="212529"/>
          <w:sz w:val="22"/>
          <w:szCs w:val="22"/>
        </w:rPr>
        <w:t xml:space="preserve">. </w:t>
      </w:r>
    </w:p>
    <w:p w14:paraId="3CD5184E" w14:textId="77777777" w:rsidR="008E61E5" w:rsidRPr="00727D43" w:rsidRDefault="008E61E5" w:rsidP="00EB52C5">
      <w:pPr>
        <w:autoSpaceDE w:val="0"/>
        <w:autoSpaceDN w:val="0"/>
        <w:adjustRightInd w:val="0"/>
        <w:rPr>
          <w:rFonts w:ascii="Avenir Next" w:eastAsia="Avenir Next LT Pro" w:hAnsi="Avenir Next" w:cs="Avenir Next LT Pro"/>
          <w:color w:val="212529"/>
          <w:sz w:val="22"/>
          <w:szCs w:val="22"/>
        </w:rPr>
      </w:pPr>
    </w:p>
    <w:p w14:paraId="56124492" w14:textId="77777777" w:rsidR="008E61E5" w:rsidRPr="00727D43" w:rsidRDefault="008E61E5" w:rsidP="00EB52C5">
      <w:pPr>
        <w:autoSpaceDE w:val="0"/>
        <w:autoSpaceDN w:val="0"/>
        <w:adjustRightInd w:val="0"/>
        <w:rPr>
          <w:rFonts w:ascii="Avenir Next" w:eastAsia="Avenir Next LT Pro" w:hAnsi="Avenir Next" w:cs="Avenir Next LT Pro"/>
          <w:color w:val="212529"/>
          <w:sz w:val="22"/>
          <w:szCs w:val="22"/>
        </w:rPr>
      </w:pPr>
      <w:r w:rsidRPr="00727D43">
        <w:rPr>
          <w:rFonts w:ascii="Avenir Next" w:eastAsia="Avenir Next LT Pro" w:hAnsi="Avenir Next" w:cs="Avenir Next LT Pro"/>
          <w:color w:val="212529"/>
          <w:sz w:val="22"/>
          <w:szCs w:val="22"/>
        </w:rPr>
        <w:t>This new outcomes-based formula should be dynamic, with adjustments through an annual settle-up process. Funding levels should be based on individual colleges’ current outcomes with specified fixed dollar amounts for:</w:t>
      </w:r>
    </w:p>
    <w:p w14:paraId="15DD85E2" w14:textId="77777777" w:rsidR="008E61E5" w:rsidRPr="00727D43" w:rsidRDefault="008E61E5" w:rsidP="00EB52C5">
      <w:pPr>
        <w:autoSpaceDE w:val="0"/>
        <w:autoSpaceDN w:val="0"/>
        <w:adjustRightInd w:val="0"/>
        <w:rPr>
          <w:rFonts w:ascii="Avenir Next" w:eastAsia="Avenir Next LT Pro" w:hAnsi="Avenir Next" w:cs="Avenir Next LT Pro"/>
          <w:color w:val="212529"/>
          <w:sz w:val="22"/>
          <w:szCs w:val="22"/>
        </w:rPr>
      </w:pPr>
    </w:p>
    <w:p w14:paraId="6E65F7B4" w14:textId="77777777" w:rsidR="008E61E5" w:rsidRPr="00727D43" w:rsidRDefault="008E61E5" w:rsidP="00EB52C5">
      <w:pPr>
        <w:pStyle w:val="ListParagraph"/>
        <w:numPr>
          <w:ilvl w:val="0"/>
          <w:numId w:val="7"/>
        </w:numPr>
        <w:rPr>
          <w:rFonts w:ascii="Avenir Next" w:eastAsia="Avenir Next LT Pro" w:hAnsi="Avenir Next" w:cs="Avenir Next LT Pro"/>
          <w:sz w:val="22"/>
          <w:szCs w:val="22"/>
        </w:rPr>
      </w:pPr>
      <w:r w:rsidRPr="00727D43">
        <w:rPr>
          <w:rFonts w:ascii="Avenir Next" w:eastAsia="Avenir Next LT Pro" w:hAnsi="Avenir Next" w:cs="Avenir Next LT Pro"/>
          <w:i/>
          <w:iCs/>
          <w:color w:val="212529"/>
          <w:sz w:val="22"/>
          <w:szCs w:val="22"/>
        </w:rPr>
        <w:t>Credentials of value</w:t>
      </w:r>
      <w:r w:rsidRPr="00727D43">
        <w:rPr>
          <w:rFonts w:ascii="Avenir Next" w:eastAsia="Avenir Next LT Pro" w:hAnsi="Avenir Next" w:cs="Avenir Next LT Pro"/>
          <w:color w:val="212529"/>
          <w:sz w:val="22"/>
          <w:szCs w:val="22"/>
        </w:rPr>
        <w:t xml:space="preserve">, including degrees, certificates, and other credentials from credit and non-credit programs that equip Texas students for </w:t>
      </w:r>
      <w:r w:rsidRPr="00727D43">
        <w:rPr>
          <w:rFonts w:ascii="Avenir Next" w:eastAsia="Avenir Next LT Pro" w:hAnsi="Avenir Next" w:cs="Avenir Next LT Pro"/>
          <w:color w:val="212529"/>
          <w:sz w:val="22"/>
          <w:szCs w:val="22"/>
          <w:shd w:val="clear" w:color="auto" w:fill="FFFFFF"/>
        </w:rPr>
        <w:t>continued learning and greater earnings in the state economy</w:t>
      </w:r>
      <w:r w:rsidRPr="00727D43">
        <w:rPr>
          <w:rFonts w:ascii="Avenir Next" w:eastAsia="Avenir Next LT Pro" w:hAnsi="Avenir Next" w:cs="Avenir Next LT Pro"/>
          <w:color w:val="212529"/>
          <w:sz w:val="22"/>
          <w:szCs w:val="22"/>
        </w:rPr>
        <w:t>;</w:t>
      </w:r>
    </w:p>
    <w:p w14:paraId="58DCB4F7" w14:textId="47FFEC5D" w:rsidR="008E61E5" w:rsidRPr="00727D43" w:rsidRDefault="008E61E5" w:rsidP="00EB52C5">
      <w:pPr>
        <w:pStyle w:val="ListParagraph"/>
        <w:numPr>
          <w:ilvl w:val="0"/>
          <w:numId w:val="7"/>
        </w:numPr>
        <w:rPr>
          <w:rFonts w:ascii="Avenir Next" w:eastAsia="Avenir Next LT Pro" w:hAnsi="Avenir Next" w:cs="Avenir Next LT Pro"/>
          <w:sz w:val="22"/>
          <w:szCs w:val="22"/>
        </w:rPr>
      </w:pPr>
      <w:r w:rsidRPr="00727D43">
        <w:rPr>
          <w:rFonts w:ascii="Avenir Next" w:eastAsia="Avenir Next LT Pro" w:hAnsi="Avenir Next" w:cs="Avenir Next LT Pro"/>
          <w:color w:val="212529"/>
          <w:sz w:val="22"/>
          <w:szCs w:val="22"/>
        </w:rPr>
        <w:t xml:space="preserve">Credentials of value awarded </w:t>
      </w:r>
      <w:r w:rsidRPr="00727D43">
        <w:rPr>
          <w:rFonts w:ascii="Avenir Next" w:eastAsia="Avenir Next LT Pro" w:hAnsi="Avenir Next" w:cs="Avenir Next LT Pro"/>
          <w:color w:val="212529"/>
          <w:sz w:val="22"/>
          <w:szCs w:val="22"/>
          <w:shd w:val="clear" w:color="auto" w:fill="FFFFFF"/>
        </w:rPr>
        <w:t xml:space="preserve">in </w:t>
      </w:r>
      <w:r w:rsidRPr="00727D43">
        <w:rPr>
          <w:rFonts w:ascii="Avenir Next" w:eastAsia="Avenir Next LT Pro" w:hAnsi="Avenir Next" w:cs="Avenir Next LT Pro"/>
          <w:i/>
          <w:iCs/>
          <w:color w:val="212529"/>
          <w:sz w:val="22"/>
          <w:szCs w:val="22"/>
          <w:shd w:val="clear" w:color="auto" w:fill="FFFFFF"/>
        </w:rPr>
        <w:t>high-demand fields</w:t>
      </w:r>
      <w:r w:rsidRPr="00727D43">
        <w:rPr>
          <w:rFonts w:ascii="Avenir Next" w:eastAsia="Avenir Next LT Pro" w:hAnsi="Avenir Next" w:cs="Avenir Next LT Pro"/>
          <w:color w:val="212529"/>
          <w:sz w:val="22"/>
          <w:szCs w:val="22"/>
        </w:rPr>
        <w:t xml:space="preserve">; </w:t>
      </w:r>
    </w:p>
    <w:p w14:paraId="26175C3F" w14:textId="65821518" w:rsidR="008E61E5" w:rsidRDefault="008E61E5" w:rsidP="00EB52C5">
      <w:pPr>
        <w:pStyle w:val="ListParagraph"/>
        <w:numPr>
          <w:ilvl w:val="0"/>
          <w:numId w:val="8"/>
        </w:numPr>
        <w:spacing w:before="100" w:beforeAutospacing="1" w:after="100" w:afterAutospacing="1"/>
        <w:rPr>
          <w:rFonts w:ascii="Avenir Next" w:eastAsia="Avenir Next LT Pro" w:hAnsi="Avenir Next" w:cs="Avenir Next LT Pro"/>
          <w:color w:val="212529"/>
          <w:sz w:val="22"/>
          <w:szCs w:val="22"/>
        </w:rPr>
      </w:pPr>
      <w:r w:rsidRPr="00727D43">
        <w:rPr>
          <w:rFonts w:ascii="Avenir Next" w:eastAsia="Avenir Next LT Pro" w:hAnsi="Avenir Next" w:cs="Avenir Next LT Pro"/>
          <w:color w:val="212529"/>
          <w:sz w:val="22"/>
          <w:szCs w:val="22"/>
        </w:rPr>
        <w:t xml:space="preserve">Students who </w:t>
      </w:r>
      <w:r w:rsidRPr="00727D43">
        <w:rPr>
          <w:rFonts w:ascii="Avenir Next" w:eastAsia="Avenir Next LT Pro" w:hAnsi="Avenir Next" w:cs="Avenir Next LT Pro"/>
          <w:i/>
          <w:iCs/>
          <w:color w:val="212529"/>
          <w:sz w:val="22"/>
          <w:szCs w:val="22"/>
        </w:rPr>
        <w:t>transfer</w:t>
      </w:r>
      <w:r w:rsidRPr="00727D43">
        <w:rPr>
          <w:rFonts w:ascii="Avenir Next" w:eastAsia="Avenir Next LT Pro" w:hAnsi="Avenir Next" w:cs="Avenir Next LT Pro"/>
          <w:color w:val="212529"/>
          <w:sz w:val="22"/>
          <w:szCs w:val="22"/>
        </w:rPr>
        <w:t xml:space="preserve"> to four-year universities</w:t>
      </w:r>
      <w:r w:rsidR="00B43588">
        <w:rPr>
          <w:rFonts w:ascii="Avenir Next" w:eastAsia="Avenir Next LT Pro" w:hAnsi="Avenir Next" w:cs="Avenir Next LT Pro"/>
          <w:color w:val="212529"/>
          <w:sz w:val="22"/>
          <w:szCs w:val="22"/>
        </w:rPr>
        <w:t>; and</w:t>
      </w:r>
    </w:p>
    <w:p w14:paraId="40D7FF89" w14:textId="2AEEEF17" w:rsidR="0071644E" w:rsidRPr="0071644E" w:rsidRDefault="0071644E" w:rsidP="00C74A2D">
      <w:pPr>
        <w:pStyle w:val="ListParagraph"/>
        <w:numPr>
          <w:ilvl w:val="0"/>
          <w:numId w:val="8"/>
        </w:numPr>
        <w:spacing w:before="100" w:beforeAutospacing="1" w:after="100" w:afterAutospacing="1"/>
      </w:pPr>
      <w:r>
        <w:rPr>
          <w:rFonts w:ascii="Avenir Next" w:eastAsia="Avenir Next LT Pro" w:hAnsi="Avenir Next" w:cs="Avenir Next LT Pro"/>
          <w:color w:val="212529"/>
          <w:sz w:val="22"/>
          <w:szCs w:val="22"/>
        </w:rPr>
        <w:t xml:space="preserve">Students who complete a sequence of dual credit courses that apply </w:t>
      </w:r>
      <w:r w:rsidR="000E0F1A">
        <w:rPr>
          <w:rFonts w:ascii="Avenir Next" w:eastAsia="Avenir Next LT Pro" w:hAnsi="Avenir Next" w:cs="Avenir Next LT Pro"/>
          <w:color w:val="212529"/>
          <w:sz w:val="22"/>
          <w:szCs w:val="22"/>
        </w:rPr>
        <w:t xml:space="preserve">toward </w:t>
      </w:r>
      <w:r>
        <w:rPr>
          <w:rFonts w:ascii="Avenir Next" w:eastAsia="Avenir Next LT Pro" w:hAnsi="Avenir Next" w:cs="Avenir Next LT Pro"/>
          <w:color w:val="212529"/>
          <w:sz w:val="22"/>
          <w:szCs w:val="22"/>
        </w:rPr>
        <w:t>academic and workforce program requirements</w:t>
      </w:r>
      <w:r w:rsidR="003F335B">
        <w:rPr>
          <w:rFonts w:ascii="Avenir Next" w:eastAsia="Avenir Next LT Pro" w:hAnsi="Avenir Next" w:cs="Avenir Next LT Pro"/>
          <w:color w:val="212529"/>
          <w:sz w:val="22"/>
          <w:szCs w:val="22"/>
        </w:rPr>
        <w:t xml:space="preserve"> at the collegiate level</w:t>
      </w:r>
      <w:r>
        <w:rPr>
          <w:rFonts w:ascii="Avenir Next" w:eastAsia="Avenir Next LT Pro" w:hAnsi="Avenir Next" w:cs="Avenir Next LT Pro"/>
          <w:color w:val="212529"/>
          <w:sz w:val="22"/>
          <w:szCs w:val="22"/>
        </w:rPr>
        <w:t>.</w:t>
      </w:r>
    </w:p>
    <w:p w14:paraId="59AE54EF" w14:textId="325C858F" w:rsidR="250C6544" w:rsidRDefault="008E61E5" w:rsidP="250C6544">
      <w:pPr>
        <w:spacing w:beforeAutospacing="1" w:afterAutospacing="1"/>
        <w:rPr>
          <w:rFonts w:ascii="Avenir Next" w:eastAsia="Avenir Next LT Pro" w:hAnsi="Avenir Next" w:cs="Avenir Next LT Pro"/>
          <w:b/>
          <w:bCs/>
          <w:color w:val="2F5496" w:themeColor="accent1" w:themeShade="BF"/>
          <w:sz w:val="22"/>
          <w:szCs w:val="22"/>
        </w:rPr>
      </w:pPr>
      <w:r w:rsidRPr="00727D43">
        <w:rPr>
          <w:rFonts w:ascii="Avenir Next" w:eastAsia="Avenir Next LT Pro" w:hAnsi="Avenir Next" w:cs="Avenir Next LT Pro"/>
          <w:color w:val="212529"/>
          <w:sz w:val="22"/>
          <w:szCs w:val="22"/>
        </w:rPr>
        <w:t xml:space="preserve">The Commission recommends </w:t>
      </w:r>
      <w:r w:rsidR="000E0F1A">
        <w:rPr>
          <w:rFonts w:ascii="Avenir Next" w:eastAsia="Avenir Next LT Pro" w:hAnsi="Avenir Next" w:cs="Avenir Next LT Pro"/>
          <w:color w:val="212529"/>
          <w:sz w:val="22"/>
          <w:szCs w:val="22"/>
        </w:rPr>
        <w:t xml:space="preserve">that </w:t>
      </w:r>
      <w:r w:rsidRPr="00727D43">
        <w:rPr>
          <w:rFonts w:ascii="Avenir Next" w:eastAsia="Avenir Next LT Pro" w:hAnsi="Avenir Next" w:cs="Avenir Next LT Pro"/>
          <w:color w:val="212529"/>
          <w:sz w:val="22"/>
          <w:szCs w:val="22"/>
        </w:rPr>
        <w:t>the outcomes-based formula include robust incentives for completions and transfers of students who are economically or educationally disadvantaged</w:t>
      </w:r>
      <w:r w:rsidR="00050257">
        <w:rPr>
          <w:rFonts w:ascii="Avenir Next" w:eastAsia="Avenir Next LT Pro" w:hAnsi="Avenir Next" w:cs="Avenir Next LT Pro"/>
          <w:color w:val="212529"/>
          <w:sz w:val="22"/>
          <w:szCs w:val="22"/>
        </w:rPr>
        <w:t xml:space="preserve"> and </w:t>
      </w:r>
      <w:r w:rsidR="00E32496">
        <w:rPr>
          <w:rFonts w:ascii="Avenir Next" w:eastAsia="Avenir Next LT Pro" w:hAnsi="Avenir Next" w:cs="Avenir Next LT Pro"/>
          <w:color w:val="212529"/>
          <w:sz w:val="22"/>
          <w:szCs w:val="22"/>
        </w:rPr>
        <w:t>adult learners</w:t>
      </w:r>
      <w:r w:rsidRPr="00727D43">
        <w:rPr>
          <w:rFonts w:ascii="Avenir Next" w:eastAsia="Avenir Next LT Pro" w:hAnsi="Avenir Next" w:cs="Avenir Next LT Pro"/>
          <w:color w:val="212529"/>
          <w:sz w:val="22"/>
          <w:szCs w:val="22"/>
        </w:rPr>
        <w:t xml:space="preserve"> to </w:t>
      </w:r>
      <w:r w:rsidR="003F335B">
        <w:rPr>
          <w:rFonts w:ascii="Avenir Next" w:eastAsia="Avenir Next LT Pro" w:hAnsi="Avenir Next" w:cs="Avenir Next LT Pro"/>
          <w:color w:val="212529"/>
          <w:sz w:val="22"/>
          <w:szCs w:val="22"/>
        </w:rPr>
        <w:t>promote</w:t>
      </w:r>
      <w:r w:rsidRPr="00727D43">
        <w:rPr>
          <w:rFonts w:ascii="Avenir Next" w:eastAsia="Avenir Next LT Pro" w:hAnsi="Avenir Next" w:cs="Avenir Next LT Pro"/>
          <w:color w:val="212529"/>
          <w:sz w:val="22"/>
          <w:szCs w:val="22"/>
        </w:rPr>
        <w:t xml:space="preserve"> improved outcomes for populations that historically have completed postsecondary credentials at significantly lower rates. The formula should include evidence-based incentives tied to students’ progress to credentials</w:t>
      </w:r>
      <w:r w:rsidR="000E0F1A">
        <w:rPr>
          <w:rFonts w:ascii="Avenir Next" w:eastAsia="Avenir Next LT Pro" w:hAnsi="Avenir Next" w:cs="Avenir Next LT Pro"/>
          <w:color w:val="212529"/>
          <w:sz w:val="22"/>
          <w:szCs w:val="22"/>
        </w:rPr>
        <w:t>,</w:t>
      </w:r>
      <w:r w:rsidR="00B60BF3">
        <w:rPr>
          <w:rFonts w:ascii="Avenir Next" w:eastAsia="Avenir Next LT Pro" w:hAnsi="Avenir Next" w:cs="Avenir Next LT Pro"/>
          <w:color w:val="212529"/>
          <w:sz w:val="22"/>
          <w:szCs w:val="22"/>
        </w:rPr>
        <w:t xml:space="preserve"> </w:t>
      </w:r>
      <w:r w:rsidR="003F335B">
        <w:rPr>
          <w:rFonts w:ascii="Avenir Next" w:eastAsia="Avenir Next LT Pro" w:hAnsi="Avenir Next" w:cs="Avenir Next LT Pro"/>
          <w:color w:val="212529"/>
          <w:sz w:val="22"/>
          <w:szCs w:val="22"/>
        </w:rPr>
        <w:t>including</w:t>
      </w:r>
      <w:r w:rsidR="00B60BF3">
        <w:rPr>
          <w:rFonts w:ascii="Avenir Next" w:eastAsia="Avenir Next LT Pro" w:hAnsi="Avenir Next" w:cs="Avenir Next LT Pro"/>
          <w:color w:val="212529"/>
          <w:sz w:val="22"/>
          <w:szCs w:val="22"/>
        </w:rPr>
        <w:t xml:space="preserve"> </w:t>
      </w:r>
      <w:r w:rsidRPr="00727D43">
        <w:rPr>
          <w:rFonts w:ascii="Avenir Next" w:eastAsia="Avenir Next LT Pro" w:hAnsi="Avenir Next" w:cs="Avenir Next LT Pro"/>
          <w:color w:val="212529"/>
          <w:sz w:val="22"/>
          <w:szCs w:val="22"/>
        </w:rPr>
        <w:t>incentive</w:t>
      </w:r>
      <w:r w:rsidR="00B60BF3">
        <w:rPr>
          <w:rFonts w:ascii="Avenir Next" w:eastAsia="Avenir Next LT Pro" w:hAnsi="Avenir Next" w:cs="Avenir Next LT Pro"/>
          <w:color w:val="212529"/>
          <w:sz w:val="22"/>
          <w:szCs w:val="22"/>
        </w:rPr>
        <w:t>s</w:t>
      </w:r>
      <w:r w:rsidRPr="00727D43">
        <w:rPr>
          <w:rFonts w:ascii="Avenir Next" w:eastAsia="Avenir Next LT Pro" w:hAnsi="Avenir Next" w:cs="Avenir Next LT Pro"/>
          <w:color w:val="212529"/>
          <w:sz w:val="22"/>
          <w:szCs w:val="22"/>
        </w:rPr>
        <w:t xml:space="preserve"> tied to students’ completion of dual credit courses that apply </w:t>
      </w:r>
      <w:r w:rsidR="000E0F1A">
        <w:rPr>
          <w:rFonts w:ascii="Avenir Next" w:eastAsia="Avenir Next LT Pro" w:hAnsi="Avenir Next" w:cs="Avenir Next LT Pro"/>
          <w:color w:val="212529"/>
          <w:sz w:val="22"/>
          <w:szCs w:val="22"/>
        </w:rPr>
        <w:t>toward</w:t>
      </w:r>
      <w:r w:rsidRPr="00727D43">
        <w:rPr>
          <w:rFonts w:ascii="Avenir Next" w:eastAsia="Avenir Next LT Pro" w:hAnsi="Avenir Next" w:cs="Avenir Next LT Pro"/>
          <w:color w:val="212529"/>
          <w:sz w:val="22"/>
          <w:szCs w:val="22"/>
        </w:rPr>
        <w:t xml:space="preserve"> academic or workforce program requirements. As the state continues to improve data infrastructure and capabilities, additional outcome metrics such as job placement should be considered for inclusion in the new formula.</w:t>
      </w:r>
    </w:p>
    <w:p w14:paraId="09591396" w14:textId="77777777" w:rsidR="008E61E5" w:rsidRPr="00727D43" w:rsidRDefault="008E61E5" w:rsidP="00EB52C5">
      <w:pPr>
        <w:spacing w:before="100" w:beforeAutospacing="1" w:after="100" w:afterAutospacing="1"/>
        <w:rPr>
          <w:rFonts w:ascii="Avenir Next" w:eastAsia="Avenir Next LT Pro" w:hAnsi="Avenir Next" w:cs="Avenir Next LT Pro"/>
          <w:color w:val="212529"/>
          <w:sz w:val="22"/>
          <w:szCs w:val="22"/>
        </w:rPr>
      </w:pPr>
      <w:r w:rsidRPr="00727D43">
        <w:rPr>
          <w:rFonts w:ascii="Avenir Next" w:eastAsia="Avenir Next LT Pro" w:hAnsi="Avenir Next" w:cs="Avenir Next LT Pro"/>
          <w:b/>
          <w:bCs/>
          <w:color w:val="2F5496" w:themeColor="accent1" w:themeShade="BF"/>
          <w:sz w:val="22"/>
          <w:szCs w:val="22"/>
        </w:rPr>
        <w:t>Recommendation 1.2</w:t>
      </w:r>
      <w:r w:rsidRPr="00727D43">
        <w:rPr>
          <w:rFonts w:ascii="Avenir Next" w:eastAsia="Avenir Next LT Pro" w:hAnsi="Avenir Next" w:cs="Avenir Next LT Pro"/>
          <w:color w:val="2F5496" w:themeColor="accent1" w:themeShade="BF"/>
          <w:sz w:val="22"/>
          <w:szCs w:val="22"/>
        </w:rPr>
        <w:t xml:space="preserve">: </w:t>
      </w:r>
      <w:r w:rsidRPr="00727D43">
        <w:rPr>
          <w:rFonts w:ascii="Avenir Next" w:eastAsia="Avenir Next LT Pro" w:hAnsi="Avenir Next" w:cs="Avenir Next LT Pro"/>
          <w:sz w:val="22"/>
          <w:szCs w:val="22"/>
        </w:rPr>
        <w:t>Ensure community</w:t>
      </w:r>
      <w:r w:rsidRPr="00727D43">
        <w:rPr>
          <w:rFonts w:ascii="Avenir Next" w:eastAsia="Avenir Next LT Pro" w:hAnsi="Avenir Next" w:cs="Avenir Next LT Pro"/>
          <w:color w:val="212529"/>
          <w:sz w:val="22"/>
          <w:szCs w:val="22"/>
        </w:rPr>
        <w:t xml:space="preserve"> colleges across Texas can access foundational levels of funding for </w:t>
      </w:r>
      <w:r w:rsidRPr="00727D43">
        <w:rPr>
          <w:rFonts w:ascii="Avenir Next" w:eastAsia="Avenir Next LT Pro" w:hAnsi="Avenir Next" w:cs="Avenir Next LT Pro"/>
          <w:b/>
          <w:bCs/>
          <w:color w:val="212529"/>
          <w:sz w:val="22"/>
          <w:szCs w:val="22"/>
        </w:rPr>
        <w:t xml:space="preserve">instruction and operations </w:t>
      </w:r>
      <w:r w:rsidRPr="00727D43">
        <w:rPr>
          <w:rFonts w:ascii="Avenir Next" w:eastAsia="Avenir Next LT Pro" w:hAnsi="Avenir Next" w:cs="Avenir Next LT Pro"/>
          <w:color w:val="212529"/>
          <w:sz w:val="22"/>
          <w:szCs w:val="22"/>
        </w:rPr>
        <w:t>through</w:t>
      </w:r>
      <w:r w:rsidRPr="00727D43">
        <w:rPr>
          <w:rFonts w:ascii="Avenir Next" w:eastAsia="Avenir Next LT Pro" w:hAnsi="Avenir Next" w:cs="Avenir Next LT Pro"/>
          <w:b/>
          <w:bCs/>
          <w:color w:val="212529"/>
          <w:sz w:val="22"/>
          <w:szCs w:val="22"/>
        </w:rPr>
        <w:t xml:space="preserve"> </w:t>
      </w:r>
      <w:r w:rsidRPr="00727D43">
        <w:rPr>
          <w:rFonts w:ascii="Avenir Next" w:eastAsia="Avenir Next LT Pro" w:hAnsi="Avenir Next" w:cs="Avenir Next LT Pro"/>
          <w:color w:val="000000" w:themeColor="text1"/>
          <w:sz w:val="22"/>
          <w:szCs w:val="22"/>
        </w:rPr>
        <w:t>a state-funded guaranteed yield for colleges with low taxable valuations</w:t>
      </w:r>
      <w:r w:rsidRPr="00727D43">
        <w:rPr>
          <w:rFonts w:ascii="Avenir Next" w:eastAsia="Avenir Next LT Pro" w:hAnsi="Avenir Next" w:cs="Avenir Next LT Pro"/>
          <w:color w:val="212529"/>
          <w:sz w:val="22"/>
          <w:szCs w:val="22"/>
        </w:rPr>
        <w:t>.</w:t>
      </w:r>
    </w:p>
    <w:p w14:paraId="39511BA3" w14:textId="7A510829" w:rsidR="008E61E5" w:rsidRPr="00727D43" w:rsidRDefault="008E61E5" w:rsidP="00EB52C5">
      <w:pPr>
        <w:autoSpaceDE w:val="0"/>
        <w:autoSpaceDN w:val="0"/>
        <w:adjustRightInd w:val="0"/>
        <w:rPr>
          <w:rFonts w:ascii="Avenir Next" w:eastAsia="Avenir Next LT Pro" w:hAnsi="Avenir Next" w:cs="Avenir Next LT Pro"/>
          <w:color w:val="000000" w:themeColor="text1"/>
          <w:sz w:val="22"/>
          <w:szCs w:val="22"/>
        </w:rPr>
      </w:pPr>
      <w:r w:rsidRPr="00727D43">
        <w:rPr>
          <w:rFonts w:ascii="Avenir Next" w:eastAsia="Avenir Next LT Pro" w:hAnsi="Avenir Next" w:cs="Avenir Next LT Pro"/>
          <w:color w:val="000000" w:themeColor="text1"/>
          <w:sz w:val="22"/>
          <w:szCs w:val="22"/>
        </w:rPr>
        <w:t xml:space="preserve">Since the inception of the Texas community college funding formula, the relative shares of funding from state and local revenue sources have shifted over time. As community colleges are locally governed institutions, providing foundational funding for instruction and operations should primarily be a local responsibility, supported through a combination of tuition and local property taxes, with state funding focused primarily on rewarding outcomes aligned with regional and state workforce needs. However, some colleges are unable to generate sufficient local funding for instruction and operations due to low taxable property values. This lack of resources puts these colleges’ students at a disadvantage in the state workforce while also negatively impacting local communities’ abilities to grow their regional economies.  </w:t>
      </w:r>
    </w:p>
    <w:p w14:paraId="779E1441" w14:textId="77777777" w:rsidR="008E61E5" w:rsidRPr="00727D43" w:rsidRDefault="008E61E5" w:rsidP="00EB52C5">
      <w:pPr>
        <w:autoSpaceDE w:val="0"/>
        <w:autoSpaceDN w:val="0"/>
        <w:adjustRightInd w:val="0"/>
        <w:rPr>
          <w:rFonts w:ascii="Avenir Next" w:eastAsia="Avenir Next LT Pro" w:hAnsi="Avenir Next" w:cs="Avenir Next LT Pro"/>
          <w:color w:val="000000" w:themeColor="text1"/>
          <w:sz w:val="22"/>
          <w:szCs w:val="22"/>
        </w:rPr>
      </w:pPr>
    </w:p>
    <w:p w14:paraId="067BEBDE" w14:textId="4B9B83FB" w:rsidR="008E61E5" w:rsidRPr="00727D43" w:rsidRDefault="008E61E5" w:rsidP="00EB52C5">
      <w:pPr>
        <w:autoSpaceDE w:val="0"/>
        <w:autoSpaceDN w:val="0"/>
        <w:adjustRightInd w:val="0"/>
        <w:rPr>
          <w:rFonts w:ascii="Avenir Next" w:eastAsia="Avenir Next LT Pro" w:hAnsi="Avenir Next" w:cs="Avenir Next LT Pro"/>
          <w:color w:val="000000" w:themeColor="text1"/>
          <w:sz w:val="22"/>
          <w:szCs w:val="22"/>
        </w:rPr>
      </w:pPr>
      <w:r w:rsidRPr="00727D43">
        <w:rPr>
          <w:rFonts w:ascii="Avenir Next" w:eastAsia="Avenir Next LT Pro" w:hAnsi="Avenir Next" w:cs="Avenir Next LT Pro"/>
          <w:color w:val="000000" w:themeColor="text1"/>
          <w:sz w:val="22"/>
          <w:szCs w:val="22"/>
        </w:rPr>
        <w:t xml:space="preserve">To ensure community colleges across the state can access funding for instruction and operations, a foundational amount of funding should be established for each college based on student enrollments and the types of contact hours taught in different fields of study across non-credit and </w:t>
      </w:r>
      <w:r w:rsidR="00412ECC">
        <w:rPr>
          <w:rFonts w:ascii="Avenir Next" w:eastAsia="Avenir Next LT Pro" w:hAnsi="Avenir Next" w:cs="Avenir Next LT Pro"/>
          <w:color w:val="000000" w:themeColor="text1"/>
          <w:sz w:val="22"/>
          <w:szCs w:val="22"/>
        </w:rPr>
        <w:t>credit-bearing</w:t>
      </w:r>
      <w:r w:rsidRPr="00727D43">
        <w:rPr>
          <w:rFonts w:ascii="Avenir Next" w:eastAsia="Avenir Next LT Pro" w:hAnsi="Avenir Next" w:cs="Avenir Next LT Pro"/>
          <w:color w:val="000000" w:themeColor="text1"/>
          <w:sz w:val="22"/>
          <w:szCs w:val="22"/>
        </w:rPr>
        <w:t xml:space="preserve"> programs. This calculation should include adjustments to recognize higher costs of educating students who need additional support services, such as </w:t>
      </w:r>
      <w:r w:rsidR="000E0F1A">
        <w:rPr>
          <w:rFonts w:ascii="Avenir Next" w:eastAsia="Avenir Next LT Pro" w:hAnsi="Avenir Next" w:cs="Avenir Next LT Pro"/>
          <w:color w:val="000000" w:themeColor="text1"/>
          <w:sz w:val="22"/>
          <w:szCs w:val="22"/>
        </w:rPr>
        <w:t>low-income or academically underprepared students,</w:t>
      </w:r>
      <w:r w:rsidRPr="00727D43">
        <w:rPr>
          <w:rFonts w:ascii="Avenir Next" w:eastAsia="Avenir Next LT Pro" w:hAnsi="Avenir Next" w:cs="Avenir Next LT Pro"/>
          <w:color w:val="000000" w:themeColor="text1"/>
          <w:sz w:val="22"/>
          <w:szCs w:val="22"/>
        </w:rPr>
        <w:t xml:space="preserve"> </w:t>
      </w:r>
      <w:r w:rsidR="008E3308">
        <w:rPr>
          <w:rFonts w:ascii="Avenir Next" w:eastAsia="Avenir Next LT Pro" w:hAnsi="Avenir Next" w:cs="Avenir Next LT Pro"/>
          <w:color w:val="000000" w:themeColor="text1"/>
          <w:sz w:val="22"/>
          <w:szCs w:val="22"/>
        </w:rPr>
        <w:t>as well as</w:t>
      </w:r>
      <w:r w:rsidR="000E0F1A">
        <w:rPr>
          <w:rFonts w:ascii="Avenir Next" w:eastAsia="Avenir Next LT Pro" w:hAnsi="Avenir Next" w:cs="Avenir Next LT Pro"/>
          <w:color w:val="000000" w:themeColor="text1"/>
          <w:sz w:val="22"/>
          <w:szCs w:val="22"/>
        </w:rPr>
        <w:t xml:space="preserve"> </w:t>
      </w:r>
      <w:r w:rsidRPr="00727D43">
        <w:rPr>
          <w:rFonts w:ascii="Avenir Next" w:eastAsia="Avenir Next LT Pro" w:hAnsi="Avenir Next" w:cs="Avenir Next LT Pro"/>
          <w:color w:val="000000" w:themeColor="text1"/>
          <w:sz w:val="22"/>
          <w:szCs w:val="22"/>
        </w:rPr>
        <w:t xml:space="preserve">adult students who are making efforts to reskill and upskill. The calculation should also include adjustments to recognize </w:t>
      </w:r>
      <w:r w:rsidR="000E0F1A">
        <w:rPr>
          <w:rFonts w:ascii="Avenir Next" w:eastAsia="Avenir Next LT Pro" w:hAnsi="Avenir Next" w:cs="Avenir Next LT Pro"/>
          <w:color w:val="000000" w:themeColor="text1"/>
          <w:sz w:val="22"/>
          <w:szCs w:val="22"/>
        </w:rPr>
        <w:t xml:space="preserve">the </w:t>
      </w:r>
      <w:r w:rsidRPr="00727D43">
        <w:rPr>
          <w:rFonts w:ascii="Avenir Next" w:eastAsia="Avenir Next LT Pro" w:hAnsi="Avenir Next" w:cs="Avenir Next LT Pro"/>
          <w:color w:val="000000" w:themeColor="text1"/>
          <w:sz w:val="22"/>
          <w:szCs w:val="22"/>
        </w:rPr>
        <w:t>higher costs of operating small colleges.</w:t>
      </w:r>
    </w:p>
    <w:p w14:paraId="5B1446A3" w14:textId="03BF6B15" w:rsidR="008E61E5" w:rsidRDefault="008E61E5" w:rsidP="00EB52C5">
      <w:pPr>
        <w:autoSpaceDE w:val="0"/>
        <w:autoSpaceDN w:val="0"/>
        <w:adjustRightInd w:val="0"/>
        <w:rPr>
          <w:rFonts w:ascii="Avenir Next" w:eastAsia="Avenir Next LT Pro" w:hAnsi="Avenir Next" w:cs="Avenir Next LT Pro"/>
          <w:color w:val="000000" w:themeColor="text1"/>
          <w:sz w:val="22"/>
          <w:szCs w:val="22"/>
        </w:rPr>
      </w:pPr>
    </w:p>
    <w:p w14:paraId="1407B8BC" w14:textId="75253B2F" w:rsidR="008E61E5" w:rsidRPr="00727D43" w:rsidRDefault="008E61E5" w:rsidP="005C2A54">
      <w:pPr>
        <w:rPr>
          <w:rFonts w:ascii="Avenir Next" w:eastAsia="Avenir Next LT Pro" w:hAnsi="Avenir Next" w:cs="Avenir Next LT Pro"/>
          <w:color w:val="000000" w:themeColor="text1"/>
          <w:sz w:val="22"/>
          <w:szCs w:val="22"/>
        </w:rPr>
      </w:pPr>
      <w:r w:rsidRPr="00727D43">
        <w:rPr>
          <w:rFonts w:ascii="Avenir Next" w:eastAsia="Avenir Next LT Pro" w:hAnsi="Avenir Next" w:cs="Avenir Next LT Pro"/>
          <w:color w:val="000000" w:themeColor="text1"/>
          <w:sz w:val="22"/>
          <w:szCs w:val="22"/>
        </w:rPr>
        <w:t xml:space="preserve">The Commission recommends that colleges unable to generate foundational levels of funding through tuition and local property taxes due to the colleges’ available tax bases or student enrollments should be leveled up via a state-funded guaranteed yield on an initial portion of these colleges’ property tax effort. Colleges receiving this additional state funding </w:t>
      </w:r>
      <w:r w:rsidR="00E505C6">
        <w:rPr>
          <w:rFonts w:ascii="Avenir Next" w:eastAsia="Avenir Next LT Pro" w:hAnsi="Avenir Next" w:cs="Avenir Next LT Pro"/>
          <w:color w:val="000000" w:themeColor="text1"/>
          <w:sz w:val="22"/>
          <w:szCs w:val="22"/>
        </w:rPr>
        <w:t>must</w:t>
      </w:r>
      <w:r w:rsidR="000E0F1A">
        <w:rPr>
          <w:rFonts w:ascii="Avenir Next" w:eastAsia="Avenir Next LT Pro" w:hAnsi="Avenir Next" w:cs="Avenir Next LT Pro"/>
          <w:color w:val="000000" w:themeColor="text1"/>
          <w:sz w:val="22"/>
          <w:szCs w:val="22"/>
        </w:rPr>
        <w:t xml:space="preserve"> meet</w:t>
      </w:r>
      <w:r w:rsidR="00E505C6">
        <w:rPr>
          <w:rFonts w:ascii="Avenir Next" w:eastAsia="Avenir Next LT Pro" w:hAnsi="Avenir Next" w:cs="Avenir Next LT Pro"/>
          <w:color w:val="000000" w:themeColor="text1"/>
          <w:sz w:val="22"/>
          <w:szCs w:val="22"/>
        </w:rPr>
        <w:t xml:space="preserve"> certain requirements that </w:t>
      </w:r>
      <w:r w:rsidR="009B16D0">
        <w:rPr>
          <w:rFonts w:ascii="Avenir Next" w:eastAsia="Avenir Next LT Pro" w:hAnsi="Avenir Next" w:cs="Avenir Next LT Pro"/>
          <w:color w:val="000000" w:themeColor="text1"/>
          <w:sz w:val="22"/>
          <w:szCs w:val="22"/>
        </w:rPr>
        <w:t>can</w:t>
      </w:r>
      <w:r w:rsidR="00E505C6">
        <w:rPr>
          <w:rFonts w:ascii="Avenir Next" w:eastAsia="Avenir Next LT Pro" w:hAnsi="Avenir Next" w:cs="Avenir Next LT Pro"/>
          <w:color w:val="000000" w:themeColor="text1"/>
          <w:sz w:val="22"/>
          <w:szCs w:val="22"/>
        </w:rPr>
        <w:t xml:space="preserve"> be </w:t>
      </w:r>
      <w:r w:rsidR="000E0F1A">
        <w:rPr>
          <w:rFonts w:ascii="Avenir Next" w:eastAsia="Avenir Next LT Pro" w:hAnsi="Avenir Next" w:cs="Avenir Next LT Pro"/>
          <w:color w:val="000000" w:themeColor="text1"/>
          <w:sz w:val="22"/>
          <w:szCs w:val="22"/>
        </w:rPr>
        <w:t>measured</w:t>
      </w:r>
      <w:r w:rsidR="00E505C6">
        <w:rPr>
          <w:rFonts w:ascii="Avenir Next" w:eastAsia="Avenir Next LT Pro" w:hAnsi="Avenir Next" w:cs="Avenir Next LT Pro"/>
          <w:color w:val="000000" w:themeColor="text1"/>
          <w:sz w:val="22"/>
          <w:szCs w:val="22"/>
        </w:rPr>
        <w:t xml:space="preserve"> through clear metrics</w:t>
      </w:r>
      <w:r w:rsidR="000E0F1A">
        <w:rPr>
          <w:rFonts w:ascii="Avenir Next" w:eastAsia="Avenir Next LT Pro" w:hAnsi="Avenir Next" w:cs="Avenir Next LT Pro"/>
          <w:color w:val="000000" w:themeColor="text1"/>
          <w:sz w:val="22"/>
          <w:szCs w:val="22"/>
        </w:rPr>
        <w:t>. These will</w:t>
      </w:r>
      <w:r w:rsidR="00E505C6">
        <w:rPr>
          <w:rFonts w:ascii="Avenir Next" w:eastAsia="Avenir Next LT Pro" w:hAnsi="Avenir Next" w:cs="Avenir Next LT Pro"/>
          <w:color w:val="000000" w:themeColor="text1"/>
          <w:sz w:val="22"/>
          <w:szCs w:val="22"/>
        </w:rPr>
        <w:t xml:space="preserve"> includ</w:t>
      </w:r>
      <w:r w:rsidR="000E0F1A">
        <w:rPr>
          <w:rFonts w:ascii="Avenir Next" w:eastAsia="Avenir Next LT Pro" w:hAnsi="Avenir Next" w:cs="Avenir Next LT Pro"/>
          <w:color w:val="000000" w:themeColor="text1"/>
          <w:sz w:val="22"/>
          <w:szCs w:val="22"/>
        </w:rPr>
        <w:t>e</w:t>
      </w:r>
      <w:r w:rsidR="00E505C6">
        <w:rPr>
          <w:rFonts w:ascii="Avenir Next" w:eastAsia="Avenir Next LT Pro" w:hAnsi="Avenir Next" w:cs="Avenir Next LT Pro"/>
          <w:color w:val="000000" w:themeColor="text1"/>
          <w:sz w:val="22"/>
          <w:szCs w:val="22"/>
        </w:rPr>
        <w:t xml:space="preserve"> participation</w:t>
      </w:r>
      <w:r w:rsidRPr="00727D43">
        <w:rPr>
          <w:rFonts w:ascii="Avenir Next" w:eastAsia="Avenir Next LT Pro" w:hAnsi="Avenir Next" w:cs="Avenir Next LT Pro"/>
          <w:color w:val="000000" w:themeColor="text1"/>
          <w:sz w:val="22"/>
          <w:szCs w:val="22"/>
        </w:rPr>
        <w:t xml:space="preserve"> in shared services or other inter-institutional partnerships to improve operational</w:t>
      </w:r>
      <w:r w:rsidR="000E0F1A">
        <w:rPr>
          <w:rFonts w:ascii="Avenir Next" w:eastAsia="Avenir Next LT Pro" w:hAnsi="Avenir Next" w:cs="Avenir Next LT Pro"/>
          <w:color w:val="000000" w:themeColor="text1"/>
          <w:sz w:val="22"/>
          <w:szCs w:val="22"/>
        </w:rPr>
        <w:t xml:space="preserve"> and programmatic</w:t>
      </w:r>
      <w:r w:rsidRPr="00727D43">
        <w:rPr>
          <w:rFonts w:ascii="Avenir Next" w:eastAsia="Avenir Next LT Pro" w:hAnsi="Avenir Next" w:cs="Avenir Next LT Pro"/>
          <w:color w:val="000000" w:themeColor="text1"/>
          <w:sz w:val="22"/>
          <w:szCs w:val="22"/>
        </w:rPr>
        <w:t xml:space="preserve"> efficiency</w:t>
      </w:r>
      <w:r w:rsidR="00E505C6">
        <w:rPr>
          <w:rFonts w:ascii="Calibri" w:hAnsi="Calibri" w:cs="Calibri"/>
          <w:color w:val="000000"/>
          <w:sz w:val="22"/>
          <w:szCs w:val="22"/>
        </w:rPr>
        <w:t xml:space="preserve"> </w:t>
      </w:r>
      <w:r w:rsidR="00E505C6" w:rsidRPr="00243365">
        <w:rPr>
          <w:rFonts w:ascii="Avenir Next" w:hAnsi="Avenir Next" w:cs="Calibri"/>
          <w:color w:val="000000"/>
          <w:sz w:val="22"/>
          <w:szCs w:val="22"/>
        </w:rPr>
        <w:t xml:space="preserve">and provide students with </w:t>
      </w:r>
      <w:r w:rsidR="0087718D">
        <w:rPr>
          <w:rFonts w:ascii="Avenir Next" w:hAnsi="Avenir Next" w:cs="Calibri"/>
          <w:color w:val="000000"/>
          <w:sz w:val="22"/>
          <w:szCs w:val="22"/>
        </w:rPr>
        <w:t>broader</w:t>
      </w:r>
      <w:r w:rsidR="00E505C6" w:rsidRPr="00243365">
        <w:rPr>
          <w:rFonts w:ascii="Avenir Next" w:hAnsi="Avenir Next" w:cs="Calibri"/>
          <w:color w:val="000000"/>
          <w:sz w:val="22"/>
          <w:szCs w:val="22"/>
        </w:rPr>
        <w:t xml:space="preserve"> opportunities</w:t>
      </w:r>
      <w:r w:rsidR="000E0F1A" w:rsidRPr="00243365">
        <w:rPr>
          <w:rFonts w:ascii="Avenir Next" w:hAnsi="Avenir Next" w:cs="Calibri"/>
          <w:color w:val="000000"/>
          <w:sz w:val="22"/>
          <w:szCs w:val="22"/>
        </w:rPr>
        <w:t xml:space="preserve"> to earn credentials of value</w:t>
      </w:r>
      <w:r w:rsidR="00E505C6" w:rsidRPr="00243365">
        <w:rPr>
          <w:rFonts w:ascii="Avenir Next" w:hAnsi="Avenir Next" w:cs="Calibri"/>
          <w:color w:val="000000"/>
          <w:sz w:val="22"/>
          <w:szCs w:val="22"/>
        </w:rPr>
        <w:t xml:space="preserve">. </w:t>
      </w:r>
    </w:p>
    <w:p w14:paraId="397C950E" w14:textId="3D25214C" w:rsidR="008E61E5" w:rsidRPr="00727D43" w:rsidRDefault="00E60D3B" w:rsidP="00EA06A1">
      <w:pPr>
        <w:pStyle w:val="Heading1"/>
        <w:numPr>
          <w:ilvl w:val="0"/>
          <w:numId w:val="11"/>
        </w:numPr>
        <w:rPr>
          <w:rFonts w:ascii="Avenir Next" w:eastAsia="Avenir Next LT Pro" w:hAnsi="Avenir Next" w:cs="Avenir Next LT Pro"/>
          <w:b/>
          <w:bCs/>
        </w:rPr>
      </w:pPr>
      <w:bookmarkStart w:id="17" w:name="_RECOMMENDATIONS:_Affordability_for"/>
      <w:bookmarkEnd w:id="17"/>
      <w:r>
        <w:rPr>
          <w:rFonts w:ascii="Avenir Next" w:eastAsia="Avenir Next LT Pro" w:hAnsi="Avenir Next" w:cs="Avenir Next LT Pro"/>
          <w:b/>
          <w:bCs/>
        </w:rPr>
        <w:t xml:space="preserve">RECOMMENDATIONS: </w:t>
      </w:r>
      <w:r w:rsidR="008E61E5" w:rsidRPr="00727D43">
        <w:rPr>
          <w:rFonts w:ascii="Avenir Next" w:eastAsia="Avenir Next LT Pro" w:hAnsi="Avenir Next" w:cs="Avenir Next LT Pro"/>
          <w:b/>
          <w:bCs/>
        </w:rPr>
        <w:t>Affordability for Students</w:t>
      </w:r>
    </w:p>
    <w:p w14:paraId="6CC43AA4" w14:textId="77777777" w:rsidR="008E61E5" w:rsidRPr="00727D43" w:rsidRDefault="008E61E5" w:rsidP="00EB52C5">
      <w:pPr>
        <w:autoSpaceDE w:val="0"/>
        <w:autoSpaceDN w:val="0"/>
        <w:adjustRightInd w:val="0"/>
        <w:rPr>
          <w:rFonts w:ascii="Avenir Next" w:eastAsia="Avenir Next LT Pro" w:hAnsi="Avenir Next" w:cs="Avenir Next LT Pro"/>
          <w:color w:val="2F5496" w:themeColor="accent1" w:themeShade="BF"/>
          <w:sz w:val="22"/>
          <w:szCs w:val="22"/>
        </w:rPr>
      </w:pPr>
    </w:p>
    <w:p w14:paraId="3F0A9E4A" w14:textId="74C03FA9" w:rsidR="008E61E5" w:rsidRPr="00727D43" w:rsidRDefault="008E61E5" w:rsidP="00EB52C5">
      <w:pPr>
        <w:autoSpaceDE w:val="0"/>
        <w:autoSpaceDN w:val="0"/>
        <w:adjustRightInd w:val="0"/>
        <w:rPr>
          <w:rFonts w:ascii="Avenir Next" w:eastAsia="Avenir Next LT Pro" w:hAnsi="Avenir Next" w:cs="Avenir Next LT Pro"/>
          <w:sz w:val="22"/>
          <w:szCs w:val="22"/>
        </w:rPr>
      </w:pPr>
      <w:r w:rsidRPr="00727D43">
        <w:rPr>
          <w:rFonts w:ascii="Avenir Next" w:eastAsia="Avenir Next LT Pro" w:hAnsi="Avenir Next" w:cs="Avenir Next LT Pro"/>
          <w:b/>
          <w:bCs/>
          <w:color w:val="2F5496" w:themeColor="accent1" w:themeShade="BF"/>
          <w:sz w:val="22"/>
          <w:szCs w:val="22"/>
        </w:rPr>
        <w:t>Recommendation 2.1:</w:t>
      </w:r>
      <w:r w:rsidRPr="00727D43">
        <w:rPr>
          <w:rFonts w:ascii="Avenir Next" w:eastAsia="Avenir Next LT Pro" w:hAnsi="Avenir Next" w:cs="Avenir Next LT Pro"/>
          <w:color w:val="2F5496" w:themeColor="accent1" w:themeShade="BF"/>
          <w:sz w:val="22"/>
          <w:szCs w:val="22"/>
        </w:rPr>
        <w:t xml:space="preserve"> </w:t>
      </w:r>
      <w:r w:rsidRPr="00727D43">
        <w:rPr>
          <w:rFonts w:ascii="Avenir Next" w:eastAsia="Avenir Next LT Pro" w:hAnsi="Avenir Next" w:cs="Avenir Next LT Pro"/>
          <w:sz w:val="22"/>
          <w:szCs w:val="22"/>
        </w:rPr>
        <w:t xml:space="preserve">Increase funding for </w:t>
      </w:r>
      <w:r w:rsidRPr="00727D43">
        <w:rPr>
          <w:rFonts w:ascii="Avenir Next" w:eastAsia="Avenir Next LT Pro" w:hAnsi="Avenir Next" w:cs="Avenir Next LT Pro"/>
          <w:b/>
          <w:bCs/>
          <w:sz w:val="22"/>
          <w:szCs w:val="22"/>
        </w:rPr>
        <w:t>Texas Educational Opportunity Grants</w:t>
      </w:r>
      <w:r w:rsidRPr="00727D43">
        <w:rPr>
          <w:rFonts w:ascii="Avenir Next" w:eastAsia="Avenir Next LT Pro" w:hAnsi="Avenir Next" w:cs="Avenir Next LT Pro"/>
          <w:sz w:val="22"/>
          <w:szCs w:val="22"/>
        </w:rPr>
        <w:t xml:space="preserve"> (TEOG) and link state performance measures for eligible students served through TEOG at two-year institutions and TEXAS Grants at universities to establish a state goal of supporting at least 70 percent of qualified low-income college students in pursuing postsecondary credentials of value at </w:t>
      </w:r>
      <w:r w:rsidR="00E32496">
        <w:rPr>
          <w:rFonts w:ascii="Avenir Next" w:eastAsia="Avenir Next LT Pro" w:hAnsi="Avenir Next" w:cs="Avenir Next LT Pro"/>
          <w:sz w:val="22"/>
          <w:szCs w:val="22"/>
        </w:rPr>
        <w:t xml:space="preserve">both </w:t>
      </w:r>
      <w:r w:rsidRPr="00727D43">
        <w:rPr>
          <w:rFonts w:ascii="Avenir Next" w:eastAsia="Avenir Next LT Pro" w:hAnsi="Avenir Next" w:cs="Avenir Next LT Pro"/>
          <w:sz w:val="22"/>
          <w:szCs w:val="22"/>
        </w:rPr>
        <w:t xml:space="preserve">public two- and four-year institutions. The TEOG program should also be restructured to provide colleges greater flexibility in meeting the needs of non-traditional students pursuing a wide variety of credentials of value, including </w:t>
      </w:r>
      <w:r w:rsidR="008E3308">
        <w:rPr>
          <w:rFonts w:ascii="Avenir Next" w:eastAsia="Avenir Next LT Pro" w:hAnsi="Avenir Next" w:cs="Avenir Next LT Pro"/>
          <w:sz w:val="22"/>
          <w:szCs w:val="22"/>
        </w:rPr>
        <w:t xml:space="preserve">credentials produced by </w:t>
      </w:r>
      <w:r w:rsidRPr="00727D43">
        <w:rPr>
          <w:rFonts w:ascii="Avenir Next" w:eastAsia="Avenir Next LT Pro" w:hAnsi="Avenir Next" w:cs="Avenir Next LT Pro"/>
          <w:sz w:val="22"/>
          <w:szCs w:val="22"/>
        </w:rPr>
        <w:t>non-credit and short-term programs.</w:t>
      </w:r>
    </w:p>
    <w:p w14:paraId="15674857" w14:textId="77777777" w:rsidR="008E61E5" w:rsidRPr="00243365" w:rsidRDefault="008E61E5" w:rsidP="00243365">
      <w:pPr>
        <w:autoSpaceDE w:val="0"/>
        <w:autoSpaceDN w:val="0"/>
        <w:adjustRightInd w:val="0"/>
        <w:rPr>
          <w:rFonts w:ascii="Avenir Next" w:eastAsia="Avenir Next LT Pro" w:hAnsi="Avenir Next" w:cs="Avenir Next LT Pro"/>
          <w:sz w:val="22"/>
          <w:szCs w:val="22"/>
        </w:rPr>
      </w:pPr>
    </w:p>
    <w:p w14:paraId="0B35CE20" w14:textId="39CBCE55" w:rsidR="008E61E5" w:rsidRPr="00727D43" w:rsidRDefault="008E61E5" w:rsidP="00243365">
      <w:pPr>
        <w:autoSpaceDE w:val="0"/>
        <w:autoSpaceDN w:val="0"/>
        <w:adjustRightInd w:val="0"/>
        <w:rPr>
          <w:rFonts w:ascii="Avenir Next" w:eastAsia="Avenir Next LT Pro" w:hAnsi="Avenir Next" w:cs="Avenir Next LT Pro"/>
          <w:sz w:val="22"/>
          <w:szCs w:val="22"/>
        </w:rPr>
      </w:pPr>
      <w:r w:rsidRPr="00727D43">
        <w:rPr>
          <w:rFonts w:ascii="Avenir Next" w:eastAsia="Avenir Next LT Pro" w:hAnsi="Avenir Next" w:cs="Avenir Next LT Pro"/>
          <w:b/>
          <w:bCs/>
          <w:color w:val="2F5496" w:themeColor="accent1" w:themeShade="BF"/>
          <w:sz w:val="22"/>
          <w:szCs w:val="22"/>
        </w:rPr>
        <w:t xml:space="preserve">Recommendation 2.2: </w:t>
      </w:r>
      <w:r w:rsidRPr="00727D43">
        <w:rPr>
          <w:rFonts w:ascii="Avenir Next" w:eastAsia="Avenir Next LT Pro" w:hAnsi="Avenir Next" w:cs="Avenir Next LT Pro"/>
          <w:sz w:val="22"/>
          <w:szCs w:val="22"/>
        </w:rPr>
        <w:t xml:space="preserve">Provide financial aid through colleges to cover tuition and required fees in dual credit courses for economically disadvantaged students. This new targeted </w:t>
      </w:r>
      <w:r w:rsidRPr="00727D43">
        <w:rPr>
          <w:rFonts w:ascii="Avenir Next" w:eastAsia="Avenir Next LT Pro" w:hAnsi="Avenir Next" w:cs="Avenir Next LT Pro"/>
          <w:b/>
          <w:bCs/>
          <w:sz w:val="22"/>
          <w:szCs w:val="22"/>
        </w:rPr>
        <w:t>financial aid for dual credit</w:t>
      </w:r>
      <w:r w:rsidRPr="00727D43">
        <w:rPr>
          <w:rFonts w:ascii="Avenir Next" w:eastAsia="Avenir Next LT Pro" w:hAnsi="Avenir Next" w:cs="Avenir Next LT Pro"/>
          <w:sz w:val="22"/>
          <w:szCs w:val="22"/>
        </w:rPr>
        <w:t xml:space="preserve"> </w:t>
      </w:r>
      <w:r w:rsidR="008E3308">
        <w:rPr>
          <w:rFonts w:ascii="Avenir Next" w:eastAsia="Avenir Next LT Pro" w:hAnsi="Avenir Next" w:cs="Avenir Next LT Pro"/>
          <w:sz w:val="22"/>
          <w:szCs w:val="22"/>
        </w:rPr>
        <w:t xml:space="preserve">funding </w:t>
      </w:r>
      <w:r w:rsidRPr="00727D43">
        <w:rPr>
          <w:rFonts w:ascii="Avenir Next" w:eastAsia="Avenir Next LT Pro" w:hAnsi="Avenir Next" w:cs="Avenir Next LT Pro"/>
          <w:sz w:val="22"/>
          <w:szCs w:val="22"/>
        </w:rPr>
        <w:t xml:space="preserve">should be administered by THECB, with support from the Texas Education Agency (TEA), for </w:t>
      </w:r>
      <w:r w:rsidRPr="00727D43">
        <w:rPr>
          <w:rFonts w:ascii="Avenir Next" w:eastAsia="Avenir Next LT Pro" w:hAnsi="Avenir Next" w:cs="Avenir Next LT Pro"/>
          <w:color w:val="212529"/>
          <w:sz w:val="22"/>
          <w:szCs w:val="22"/>
        </w:rPr>
        <w:t xml:space="preserve">dual credit courses that apply </w:t>
      </w:r>
      <w:r w:rsidR="000E0F1A">
        <w:rPr>
          <w:rFonts w:ascii="Avenir Next" w:eastAsia="Avenir Next LT Pro" w:hAnsi="Avenir Next" w:cs="Avenir Next LT Pro"/>
          <w:color w:val="212529"/>
          <w:sz w:val="22"/>
          <w:szCs w:val="22"/>
        </w:rPr>
        <w:t>toward</w:t>
      </w:r>
      <w:r w:rsidRPr="00727D43">
        <w:rPr>
          <w:rFonts w:ascii="Avenir Next" w:eastAsia="Avenir Next LT Pro" w:hAnsi="Avenir Next" w:cs="Avenir Next LT Pro"/>
          <w:color w:val="212529"/>
          <w:sz w:val="22"/>
          <w:szCs w:val="22"/>
        </w:rPr>
        <w:t xml:space="preserve"> academic or workforce </w:t>
      </w:r>
      <w:r w:rsidR="00484284">
        <w:rPr>
          <w:rFonts w:ascii="Avenir Next" w:eastAsia="Avenir Next LT Pro" w:hAnsi="Avenir Next" w:cs="Avenir Next LT Pro"/>
          <w:color w:val="212529"/>
          <w:sz w:val="22"/>
          <w:szCs w:val="22"/>
        </w:rPr>
        <w:t xml:space="preserve">education </w:t>
      </w:r>
      <w:r w:rsidRPr="00727D43">
        <w:rPr>
          <w:rFonts w:ascii="Avenir Next" w:eastAsia="Avenir Next LT Pro" w:hAnsi="Avenir Next" w:cs="Avenir Next LT Pro"/>
          <w:color w:val="212529"/>
          <w:sz w:val="22"/>
          <w:szCs w:val="22"/>
        </w:rPr>
        <w:t>program requirements</w:t>
      </w:r>
      <w:r w:rsidRPr="00727D43">
        <w:rPr>
          <w:rFonts w:ascii="Avenir Next" w:eastAsia="Avenir Next LT Pro" w:hAnsi="Avenir Next" w:cs="Avenir Next LT Pro"/>
          <w:sz w:val="22"/>
          <w:szCs w:val="22"/>
        </w:rPr>
        <w:t xml:space="preserve">. </w:t>
      </w:r>
      <w:r w:rsidR="0087718D">
        <w:rPr>
          <w:rFonts w:ascii="Avenir Next" w:eastAsia="Avenir Next LT Pro" w:hAnsi="Avenir Next" w:cs="Avenir Next LT Pro"/>
          <w:sz w:val="22"/>
          <w:szCs w:val="22"/>
        </w:rPr>
        <w:t xml:space="preserve">The administration of this targeted financial aid should minimize procedural barriers to student participation, for example by leveraging existing data about students’ eligibility for the National School Lunch Program. </w:t>
      </w:r>
      <w:r w:rsidRPr="00727D43">
        <w:rPr>
          <w:rFonts w:ascii="Avenir Next" w:eastAsia="Avenir Next LT Pro" w:hAnsi="Avenir Next" w:cs="Avenir Next LT Pro"/>
          <w:sz w:val="22"/>
          <w:szCs w:val="22"/>
        </w:rPr>
        <w:t xml:space="preserve">It should also incorporate a </w:t>
      </w:r>
      <w:r w:rsidR="00B60BF3">
        <w:rPr>
          <w:rFonts w:ascii="Avenir Next" w:eastAsia="Avenir Next LT Pro" w:hAnsi="Avenir Next" w:cs="Avenir Next LT Pro"/>
          <w:sz w:val="22"/>
          <w:szCs w:val="22"/>
        </w:rPr>
        <w:t>maximum</w:t>
      </w:r>
      <w:r w:rsidR="00B60BF3" w:rsidRPr="00727D43">
        <w:rPr>
          <w:rFonts w:ascii="Avenir Next" w:eastAsia="Avenir Next LT Pro" w:hAnsi="Avenir Next" w:cs="Avenir Next LT Pro"/>
          <w:sz w:val="22"/>
          <w:szCs w:val="22"/>
        </w:rPr>
        <w:t xml:space="preserve"> </w:t>
      </w:r>
      <w:r w:rsidRPr="00727D43">
        <w:rPr>
          <w:rFonts w:ascii="Avenir Next" w:eastAsia="Avenir Next LT Pro" w:hAnsi="Avenir Next" w:cs="Avenir Next LT Pro"/>
          <w:sz w:val="22"/>
          <w:szCs w:val="22"/>
        </w:rPr>
        <w:t>tuition rate for dual credit courses set annually by THECB to help ensure equitable access for high school students across the state to dual credit courses</w:t>
      </w:r>
      <w:r w:rsidR="0087718D">
        <w:rPr>
          <w:rFonts w:ascii="Avenir Next" w:eastAsia="Avenir Next LT Pro" w:hAnsi="Avenir Next" w:cs="Avenir Next LT Pro"/>
          <w:sz w:val="22"/>
          <w:szCs w:val="22"/>
        </w:rPr>
        <w:t>.</w:t>
      </w:r>
    </w:p>
    <w:p w14:paraId="2A314E49" w14:textId="77777777" w:rsidR="008E61E5" w:rsidRPr="00727D43" w:rsidRDefault="008E61E5" w:rsidP="00EB52C5">
      <w:pPr>
        <w:rPr>
          <w:rFonts w:ascii="Avenir Next" w:eastAsia="Avenir Next LT Pro" w:hAnsi="Avenir Next" w:cs="Avenir Next LT Pro"/>
          <w:b/>
          <w:bCs/>
          <w:sz w:val="22"/>
          <w:szCs w:val="22"/>
        </w:rPr>
      </w:pPr>
    </w:p>
    <w:p w14:paraId="2FC2EC3D" w14:textId="6DA41D3D" w:rsidR="008E61E5" w:rsidRPr="00727D43" w:rsidRDefault="008E61E5" w:rsidP="00486087">
      <w:pPr>
        <w:autoSpaceDE w:val="0"/>
        <w:autoSpaceDN w:val="0"/>
        <w:adjustRightInd w:val="0"/>
        <w:rPr>
          <w:rFonts w:ascii="Avenir Next" w:eastAsia="Avenir Next LT Pro" w:hAnsi="Avenir Next" w:cs="Avenir Next LT Pro"/>
          <w:sz w:val="22"/>
          <w:szCs w:val="22"/>
        </w:rPr>
      </w:pPr>
      <w:r w:rsidRPr="00727D43">
        <w:rPr>
          <w:rFonts w:ascii="Avenir Next" w:eastAsia="Avenir Next LT Pro" w:hAnsi="Avenir Next" w:cs="Avenir Next LT Pro"/>
          <w:b/>
          <w:bCs/>
          <w:color w:val="2F5496" w:themeColor="accent1" w:themeShade="BF"/>
          <w:sz w:val="22"/>
          <w:szCs w:val="22"/>
        </w:rPr>
        <w:t>Recommendation 2.3:</w:t>
      </w:r>
      <w:r w:rsidRPr="00727D43">
        <w:rPr>
          <w:rFonts w:ascii="Avenir Next" w:eastAsia="Avenir Next LT Pro" w:hAnsi="Avenir Next" w:cs="Avenir Next LT Pro"/>
          <w:color w:val="2F5496" w:themeColor="accent1" w:themeShade="BF"/>
          <w:sz w:val="22"/>
          <w:szCs w:val="22"/>
        </w:rPr>
        <w:t xml:space="preserve"> </w:t>
      </w:r>
      <w:r w:rsidRPr="00727D43">
        <w:rPr>
          <w:rFonts w:ascii="Avenir Next" w:eastAsia="Avenir Next LT Pro" w:hAnsi="Avenir Next" w:cs="Avenir Next LT Pro"/>
          <w:sz w:val="22"/>
          <w:szCs w:val="22"/>
        </w:rPr>
        <w:t xml:space="preserve">Expand partnerships among colleges and private employers for </w:t>
      </w:r>
      <w:r w:rsidRPr="00727D43">
        <w:rPr>
          <w:rFonts w:ascii="Avenir Next" w:eastAsia="Avenir Next LT Pro" w:hAnsi="Avenir Next" w:cs="Avenir Next LT Pro"/>
          <w:b/>
          <w:bCs/>
          <w:sz w:val="22"/>
          <w:szCs w:val="22"/>
        </w:rPr>
        <w:t>paid</w:t>
      </w:r>
      <w:r w:rsidRPr="00727D43">
        <w:rPr>
          <w:rFonts w:ascii="Avenir Next" w:eastAsia="Avenir Next LT Pro" w:hAnsi="Avenir Next" w:cs="Avenir Next LT Pro"/>
          <w:sz w:val="22"/>
          <w:szCs w:val="22"/>
        </w:rPr>
        <w:t xml:space="preserve"> </w:t>
      </w:r>
      <w:r w:rsidRPr="00727D43">
        <w:rPr>
          <w:rFonts w:ascii="Avenir Next" w:eastAsia="Avenir Next LT Pro" w:hAnsi="Avenir Next" w:cs="Avenir Next LT Pro"/>
          <w:b/>
          <w:bCs/>
          <w:sz w:val="22"/>
          <w:szCs w:val="22"/>
        </w:rPr>
        <w:t>work-based learning</w:t>
      </w:r>
      <w:r w:rsidRPr="00727D43">
        <w:rPr>
          <w:rFonts w:ascii="Avenir Next" w:eastAsia="Avenir Next LT Pro" w:hAnsi="Avenir Next" w:cs="Avenir Next LT Pro"/>
          <w:sz w:val="22"/>
          <w:szCs w:val="22"/>
        </w:rPr>
        <w:t xml:space="preserve"> opportunities, including work-study, apprenticeships, and internships related to students’ programs of study, utilizing the work-based learning strategic framework developed by the Governor’s Tri-Agency Workforce Initiative. Work-based learning is a proven strategy to provide financial support while giving students opportunities to apply and develop skills through real work experiences in industry settings. The state should leverage existing federal funding and provide targeted state support for programs developed in partnership with employers and offered through colleges to expand paid work-based learning. </w:t>
      </w:r>
      <w:r w:rsidRPr="00727D43">
        <w:rPr>
          <w:rFonts w:ascii="Avenir Next" w:eastAsia="Avenir Next LT Pro" w:hAnsi="Avenir Next" w:cs="Avenir Next LT Pro"/>
          <w:sz w:val="22"/>
          <w:szCs w:val="22"/>
        </w:rPr>
        <w:br w:type="page"/>
      </w:r>
    </w:p>
    <w:p w14:paraId="63EDB2A8" w14:textId="5D616264" w:rsidR="008E61E5" w:rsidRPr="00727D43" w:rsidRDefault="00E60D3B" w:rsidP="00EA06A1">
      <w:pPr>
        <w:pStyle w:val="Heading1"/>
        <w:numPr>
          <w:ilvl w:val="0"/>
          <w:numId w:val="11"/>
        </w:numPr>
        <w:rPr>
          <w:rFonts w:ascii="Avenir Next" w:eastAsia="Avenir Next LT Pro" w:hAnsi="Avenir Next" w:cs="Avenir Next LT Pro"/>
          <w:b/>
          <w:bCs/>
        </w:rPr>
      </w:pPr>
      <w:bookmarkStart w:id="18" w:name="_RECOMMENDATIONS:_Investments_in"/>
      <w:bookmarkEnd w:id="18"/>
      <w:r>
        <w:rPr>
          <w:rFonts w:ascii="Avenir Next" w:eastAsia="Avenir Next LT Pro" w:hAnsi="Avenir Next" w:cs="Avenir Next LT Pro"/>
          <w:b/>
          <w:bCs/>
        </w:rPr>
        <w:t xml:space="preserve">RECOMMENDATIONS: </w:t>
      </w:r>
      <w:r w:rsidR="008E61E5" w:rsidRPr="00727D43">
        <w:rPr>
          <w:rFonts w:ascii="Avenir Next" w:eastAsia="Avenir Next LT Pro" w:hAnsi="Avenir Next" w:cs="Avenir Next LT Pro"/>
          <w:b/>
          <w:bCs/>
        </w:rPr>
        <w:t>Investments in College Capacity</w:t>
      </w:r>
    </w:p>
    <w:p w14:paraId="30EBB059" w14:textId="77777777" w:rsidR="008E61E5" w:rsidRPr="00727D43" w:rsidRDefault="008E61E5" w:rsidP="00EB52C5">
      <w:pPr>
        <w:rPr>
          <w:rFonts w:ascii="Avenir Next" w:eastAsia="Avenir Next LT Pro" w:hAnsi="Avenir Next" w:cs="Avenir Next LT Pro"/>
          <w:color w:val="2F5496" w:themeColor="accent1" w:themeShade="BF"/>
          <w:sz w:val="22"/>
          <w:szCs w:val="22"/>
        </w:rPr>
      </w:pPr>
    </w:p>
    <w:p w14:paraId="5CD90D96" w14:textId="77777777" w:rsidR="008E61E5" w:rsidRPr="00727D43" w:rsidRDefault="008E61E5" w:rsidP="00EB52C5">
      <w:pPr>
        <w:rPr>
          <w:rFonts w:ascii="Avenir Next" w:eastAsia="Avenir Next LT Pro" w:hAnsi="Avenir Next" w:cs="Avenir Next LT Pro"/>
          <w:strike/>
          <w:color w:val="2F5496" w:themeColor="accent1" w:themeShade="BF"/>
          <w:sz w:val="22"/>
          <w:szCs w:val="22"/>
        </w:rPr>
      </w:pPr>
    </w:p>
    <w:p w14:paraId="0DEB29BB" w14:textId="563836CE" w:rsidR="008E61E5" w:rsidRPr="00727D43" w:rsidRDefault="008E61E5" w:rsidP="00EB52C5">
      <w:pPr>
        <w:rPr>
          <w:rFonts w:ascii="Avenir Next" w:eastAsia="Avenir Next LT Pro" w:hAnsi="Avenir Next" w:cs="Avenir Next LT Pro"/>
          <w:color w:val="212529"/>
          <w:sz w:val="22"/>
          <w:szCs w:val="22"/>
        </w:rPr>
      </w:pPr>
      <w:r w:rsidRPr="00727D43">
        <w:rPr>
          <w:rFonts w:ascii="Avenir Next" w:eastAsia="Avenir Next LT Pro" w:hAnsi="Avenir Next" w:cs="Avenir Next LT Pro"/>
          <w:b/>
          <w:bCs/>
          <w:color w:val="2F5496" w:themeColor="accent1" w:themeShade="BF"/>
          <w:sz w:val="22"/>
          <w:szCs w:val="22"/>
        </w:rPr>
        <w:t xml:space="preserve">Recommendation 3.1: </w:t>
      </w:r>
      <w:r w:rsidRPr="00727D43">
        <w:rPr>
          <w:rFonts w:ascii="Avenir Next" w:eastAsia="Avenir Next LT Pro" w:hAnsi="Avenir Next" w:cs="Avenir Next LT Pro"/>
          <w:color w:val="212529"/>
          <w:sz w:val="22"/>
          <w:szCs w:val="22"/>
        </w:rPr>
        <w:t xml:space="preserve">Provide one-time </w:t>
      </w:r>
      <w:r w:rsidRPr="00727D43">
        <w:rPr>
          <w:rFonts w:ascii="Avenir Next" w:eastAsia="Avenir Next LT Pro" w:hAnsi="Avenir Next" w:cs="Avenir Next LT Pro"/>
          <w:b/>
          <w:bCs/>
          <w:color w:val="212529"/>
          <w:sz w:val="22"/>
          <w:szCs w:val="22"/>
        </w:rPr>
        <w:t>seed grants for programs in high-demand fields</w:t>
      </w:r>
      <w:r w:rsidRPr="00727D43">
        <w:rPr>
          <w:rFonts w:ascii="Avenir Next" w:eastAsia="Avenir Next LT Pro" w:hAnsi="Avenir Next" w:cs="Avenir Next LT Pro"/>
          <w:color w:val="212529"/>
          <w:sz w:val="22"/>
          <w:szCs w:val="22"/>
        </w:rPr>
        <w:t xml:space="preserve"> to</w:t>
      </w:r>
      <w:r w:rsidRPr="00727D43">
        <w:rPr>
          <w:rFonts w:ascii="Avenir Next" w:eastAsia="Avenir Next LT Pro" w:hAnsi="Avenir Next" w:cs="Avenir Next LT Pro"/>
          <w:b/>
          <w:bCs/>
          <w:color w:val="212529"/>
          <w:sz w:val="22"/>
          <w:szCs w:val="22"/>
        </w:rPr>
        <w:t xml:space="preserve"> </w:t>
      </w:r>
      <w:r w:rsidRPr="00727D43">
        <w:rPr>
          <w:rFonts w:ascii="Avenir Next" w:eastAsia="Avenir Next LT Pro" w:hAnsi="Avenir Next" w:cs="Avenir Next LT Pro"/>
          <w:color w:val="212529"/>
          <w:sz w:val="22"/>
          <w:szCs w:val="22"/>
        </w:rPr>
        <w:t xml:space="preserve">support community colleges in rapidly standing up or expanding programs to meet regional and state workforce needs. These grants would be administered through THECB in consultation with the Texas Workforce Commission. Drawing on insights from </w:t>
      </w:r>
      <w:r w:rsidR="000E0F1A">
        <w:rPr>
          <w:rFonts w:ascii="Avenir Next" w:eastAsia="Avenir Next LT Pro" w:hAnsi="Avenir Next" w:cs="Avenir Next LT Pro"/>
          <w:color w:val="212529"/>
          <w:sz w:val="22"/>
          <w:szCs w:val="22"/>
        </w:rPr>
        <w:t xml:space="preserve">the </w:t>
      </w:r>
      <w:r w:rsidRPr="00727D43">
        <w:rPr>
          <w:rFonts w:ascii="Avenir Next" w:eastAsia="Avenir Next LT Pro" w:hAnsi="Avenir Next" w:cs="Avenir Next LT Pro"/>
          <w:color w:val="212529"/>
          <w:sz w:val="22"/>
          <w:szCs w:val="22"/>
        </w:rPr>
        <w:t>initial implementation of the Texas Reskilling and Upskilling through Education (TRUE) program, the state should give priority to short-term workforce programs developed in partnership with employers.</w:t>
      </w:r>
    </w:p>
    <w:p w14:paraId="11ACB68A" w14:textId="77777777" w:rsidR="008E61E5" w:rsidRPr="00727D43" w:rsidRDefault="008E61E5" w:rsidP="00EB52C5">
      <w:pPr>
        <w:rPr>
          <w:rFonts w:ascii="Avenir Next" w:eastAsia="Avenir Next LT Pro" w:hAnsi="Avenir Next" w:cs="Avenir Next LT Pro"/>
          <w:color w:val="412056"/>
          <w:sz w:val="22"/>
          <w:szCs w:val="22"/>
        </w:rPr>
      </w:pPr>
    </w:p>
    <w:p w14:paraId="29E38A2D" w14:textId="55085233" w:rsidR="008E61E5" w:rsidRPr="00727D43" w:rsidRDefault="008E61E5" w:rsidP="00EB52C5">
      <w:pPr>
        <w:rPr>
          <w:rFonts w:ascii="Avenir Next" w:eastAsia="Avenir Next LT Pro" w:hAnsi="Avenir Next" w:cs="Avenir Next LT Pro"/>
          <w:color w:val="212529"/>
          <w:sz w:val="22"/>
          <w:szCs w:val="22"/>
        </w:rPr>
      </w:pPr>
      <w:r w:rsidRPr="00727D43">
        <w:rPr>
          <w:rFonts w:ascii="Avenir Next" w:eastAsia="Avenir Next LT Pro" w:hAnsi="Avenir Next" w:cs="Avenir Next LT Pro"/>
          <w:b/>
          <w:bCs/>
          <w:color w:val="2F5496" w:themeColor="accent1" w:themeShade="BF"/>
          <w:sz w:val="22"/>
          <w:szCs w:val="22"/>
        </w:rPr>
        <w:t xml:space="preserve">Recommendation 3.2: </w:t>
      </w:r>
      <w:r w:rsidRPr="00727D43">
        <w:rPr>
          <w:rFonts w:ascii="Avenir Next" w:eastAsia="Avenir Next LT Pro" w:hAnsi="Avenir Next" w:cs="Avenir Next LT Pro"/>
          <w:color w:val="212529"/>
          <w:sz w:val="22"/>
          <w:szCs w:val="22"/>
        </w:rPr>
        <w:t xml:space="preserve">Support and facilitate </w:t>
      </w:r>
      <w:r w:rsidRPr="00727D43">
        <w:rPr>
          <w:rFonts w:ascii="Avenir Next" w:eastAsia="Avenir Next LT Pro" w:hAnsi="Avenir Next" w:cs="Avenir Next LT Pro"/>
          <w:b/>
          <w:bCs/>
          <w:color w:val="212529"/>
          <w:sz w:val="22"/>
          <w:szCs w:val="22"/>
        </w:rPr>
        <w:t>shared services</w:t>
      </w:r>
      <w:r w:rsidRPr="00727D43">
        <w:rPr>
          <w:rFonts w:ascii="Avenir Next" w:eastAsia="Avenir Next LT Pro" w:hAnsi="Avenir Next" w:cs="Avenir Next LT Pro"/>
          <w:color w:val="212529"/>
          <w:sz w:val="22"/>
          <w:szCs w:val="22"/>
        </w:rPr>
        <w:t xml:space="preserve"> and stronger inter-institutional partnerships. THECB should facilitate shared services to enable individual colleges to improve operational efficiency and expand the range of academic and workforce programs they offer. These shared services might include support for inter-institutional partnerships, master service agreements, and state technology infrastructure, along with related feasibility studies. For example, institutions across the state should be able to leverage other institutions’ online courses so students can stack courses, credits, and credentials to earn degrees, certificates, and short-term workforce credentials that smaller colleges would be unable to offer on their own.</w:t>
      </w:r>
      <w:r w:rsidR="00D80B2B">
        <w:rPr>
          <w:rFonts w:ascii="Avenir Next" w:eastAsia="Avenir Next LT Pro" w:hAnsi="Avenir Next" w:cs="Avenir Next LT Pro"/>
          <w:color w:val="212529"/>
          <w:sz w:val="22"/>
          <w:szCs w:val="22"/>
        </w:rPr>
        <w:t xml:space="preserve"> </w:t>
      </w:r>
      <w:r w:rsidR="43B0E46D" w:rsidRPr="78F39FDE">
        <w:rPr>
          <w:rFonts w:ascii="Avenir Next" w:eastAsia="Avenir Next LT Pro" w:hAnsi="Avenir Next" w:cs="Avenir Next LT Pro"/>
          <w:color w:val="212529"/>
          <w:sz w:val="22"/>
          <w:szCs w:val="22"/>
        </w:rPr>
        <w:t>These and other</w:t>
      </w:r>
      <w:r w:rsidR="00284C64">
        <w:rPr>
          <w:rFonts w:ascii="Avenir Next" w:eastAsia="Avenir Next LT Pro" w:hAnsi="Avenir Next" w:cs="Avenir Next LT Pro"/>
          <w:color w:val="212529"/>
          <w:sz w:val="22"/>
          <w:szCs w:val="22"/>
        </w:rPr>
        <w:t xml:space="preserve"> </w:t>
      </w:r>
      <w:r w:rsidR="2F59C161" w:rsidRPr="3E2687EA">
        <w:rPr>
          <w:rFonts w:ascii="Avenir Next" w:eastAsia="Avenir Next LT Pro" w:hAnsi="Avenir Next" w:cs="Avenir Next LT Pro"/>
          <w:color w:val="212529"/>
          <w:sz w:val="22"/>
          <w:szCs w:val="22"/>
        </w:rPr>
        <w:t>cross-</w:t>
      </w:r>
      <w:r w:rsidR="2F59C161" w:rsidRPr="766A2064">
        <w:rPr>
          <w:rFonts w:ascii="Avenir Next" w:eastAsia="Avenir Next LT Pro" w:hAnsi="Avenir Next" w:cs="Avenir Next LT Pro"/>
          <w:color w:val="212529"/>
          <w:sz w:val="22"/>
          <w:szCs w:val="22"/>
        </w:rPr>
        <w:t>institutional</w:t>
      </w:r>
      <w:r w:rsidR="00284C64">
        <w:rPr>
          <w:rFonts w:ascii="Avenir Next" w:eastAsia="Avenir Next LT Pro" w:hAnsi="Avenir Next" w:cs="Avenir Next LT Pro"/>
          <w:color w:val="212529"/>
          <w:sz w:val="22"/>
          <w:szCs w:val="22"/>
        </w:rPr>
        <w:t xml:space="preserve"> p</w:t>
      </w:r>
      <w:r w:rsidR="00D80B2B">
        <w:rPr>
          <w:rFonts w:ascii="Avenir Next" w:eastAsia="Avenir Next LT Pro" w:hAnsi="Avenir Next" w:cs="Avenir Next LT Pro"/>
          <w:color w:val="212529"/>
          <w:sz w:val="22"/>
          <w:szCs w:val="22"/>
        </w:rPr>
        <w:t xml:space="preserve">artnerships </w:t>
      </w:r>
      <w:r w:rsidR="00284C64">
        <w:rPr>
          <w:rFonts w:ascii="Avenir Next" w:eastAsia="Avenir Next LT Pro" w:hAnsi="Avenir Next" w:cs="Avenir Next LT Pro"/>
          <w:color w:val="212529"/>
          <w:sz w:val="22"/>
          <w:szCs w:val="22"/>
        </w:rPr>
        <w:t xml:space="preserve">could involve other community colleges, Texas State Technical Colleges, </w:t>
      </w:r>
      <w:r w:rsidR="1CAE48C7" w:rsidRPr="6D1A7D4F">
        <w:rPr>
          <w:rFonts w:ascii="Avenir Next" w:eastAsia="Avenir Next LT Pro" w:hAnsi="Avenir Next" w:cs="Avenir Next LT Pro"/>
          <w:color w:val="212529"/>
          <w:sz w:val="22"/>
          <w:szCs w:val="22"/>
        </w:rPr>
        <w:t xml:space="preserve">or </w:t>
      </w:r>
      <w:r w:rsidR="00284C64">
        <w:rPr>
          <w:rFonts w:ascii="Avenir Next" w:eastAsia="Avenir Next LT Pro" w:hAnsi="Avenir Next" w:cs="Avenir Next LT Pro"/>
          <w:color w:val="212529"/>
          <w:sz w:val="22"/>
          <w:szCs w:val="22"/>
        </w:rPr>
        <w:t>four</w:t>
      </w:r>
      <w:r w:rsidR="00111FB3">
        <w:rPr>
          <w:rFonts w:ascii="Avenir Next" w:eastAsia="Avenir Next LT Pro" w:hAnsi="Avenir Next" w:cs="Avenir Next LT Pro"/>
          <w:color w:val="212529"/>
          <w:sz w:val="22"/>
          <w:szCs w:val="22"/>
        </w:rPr>
        <w:t>-</w:t>
      </w:r>
      <w:r w:rsidR="00284C64">
        <w:rPr>
          <w:rFonts w:ascii="Avenir Next" w:eastAsia="Avenir Next LT Pro" w:hAnsi="Avenir Next" w:cs="Avenir Next LT Pro"/>
          <w:color w:val="212529"/>
          <w:sz w:val="22"/>
          <w:szCs w:val="22"/>
        </w:rPr>
        <w:t>year institutions</w:t>
      </w:r>
      <w:r w:rsidR="38426334" w:rsidRPr="135F0D44">
        <w:rPr>
          <w:rFonts w:ascii="Avenir Next" w:eastAsia="Avenir Next LT Pro" w:hAnsi="Avenir Next" w:cs="Avenir Next LT Pro"/>
          <w:color w:val="212529"/>
          <w:sz w:val="22"/>
          <w:szCs w:val="22"/>
        </w:rPr>
        <w:t xml:space="preserve"> and </w:t>
      </w:r>
      <w:r w:rsidR="38426334" w:rsidRPr="69F50CCF">
        <w:rPr>
          <w:rFonts w:ascii="Avenir Next" w:eastAsia="Avenir Next LT Pro" w:hAnsi="Avenir Next" w:cs="Avenir Next LT Pro"/>
          <w:color w:val="212529"/>
          <w:sz w:val="22"/>
          <w:szCs w:val="22"/>
        </w:rPr>
        <w:t>university systems</w:t>
      </w:r>
      <w:r w:rsidR="00284C64">
        <w:rPr>
          <w:rFonts w:ascii="Avenir Next" w:eastAsia="Avenir Next LT Pro" w:hAnsi="Avenir Next" w:cs="Avenir Next LT Pro"/>
          <w:color w:val="212529"/>
          <w:sz w:val="22"/>
          <w:szCs w:val="22"/>
        </w:rPr>
        <w:t>.</w:t>
      </w:r>
    </w:p>
    <w:p w14:paraId="1938A31D" w14:textId="77777777" w:rsidR="008E61E5" w:rsidRPr="00727D43" w:rsidRDefault="008E61E5" w:rsidP="00EB52C5">
      <w:pPr>
        <w:rPr>
          <w:rFonts w:ascii="Avenir Next" w:eastAsia="Avenir Next LT Pro" w:hAnsi="Avenir Next" w:cs="Avenir Next LT Pro"/>
          <w:b/>
          <w:bCs/>
          <w:color w:val="00B0F0"/>
          <w:sz w:val="22"/>
          <w:szCs w:val="22"/>
        </w:rPr>
      </w:pPr>
    </w:p>
    <w:p w14:paraId="2CD63CF1" w14:textId="3CD2FB3B" w:rsidR="008E61E5" w:rsidRPr="00727D43" w:rsidRDefault="008E61E5" w:rsidP="00EB52C5">
      <w:pPr>
        <w:rPr>
          <w:rFonts w:ascii="Avenir Next" w:eastAsia="Avenir Next LT Pro" w:hAnsi="Avenir Next" w:cs="Avenir Next LT Pro"/>
          <w:color w:val="212529"/>
          <w:sz w:val="22"/>
          <w:szCs w:val="22"/>
        </w:rPr>
      </w:pPr>
      <w:r w:rsidRPr="00727D43">
        <w:rPr>
          <w:rFonts w:ascii="Avenir Next" w:eastAsia="Avenir Next LT Pro" w:hAnsi="Avenir Next" w:cs="Avenir Next LT Pro"/>
          <w:b/>
          <w:bCs/>
          <w:color w:val="2F5496" w:themeColor="accent1" w:themeShade="BF"/>
          <w:sz w:val="22"/>
          <w:szCs w:val="22"/>
        </w:rPr>
        <w:t xml:space="preserve">Recommendation 3.3: </w:t>
      </w:r>
      <w:r w:rsidRPr="00727D43">
        <w:rPr>
          <w:rFonts w:ascii="Avenir Next" w:eastAsia="Avenir Next LT Pro" w:hAnsi="Avenir Next" w:cs="Avenir Next LT Pro"/>
          <w:color w:val="212529"/>
          <w:sz w:val="22"/>
          <w:szCs w:val="22"/>
        </w:rPr>
        <w:t xml:space="preserve">Update state policies, and build upon the recent work by individual colleges, to help community colleges across the state provide </w:t>
      </w:r>
      <w:r w:rsidR="00412ECC">
        <w:rPr>
          <w:rFonts w:ascii="Avenir Next" w:eastAsia="Avenir Next LT Pro" w:hAnsi="Avenir Next" w:cs="Avenir Next LT Pro"/>
          <w:color w:val="212529"/>
          <w:sz w:val="22"/>
          <w:szCs w:val="22"/>
        </w:rPr>
        <w:t>high-quality</w:t>
      </w:r>
      <w:r w:rsidRPr="00727D43">
        <w:rPr>
          <w:rFonts w:ascii="Avenir Next" w:eastAsia="Avenir Next LT Pro" w:hAnsi="Avenir Next" w:cs="Avenir Next LT Pro"/>
          <w:color w:val="212529"/>
          <w:sz w:val="22"/>
          <w:szCs w:val="22"/>
        </w:rPr>
        <w:t xml:space="preserve"> non-credit credential programs that are </w:t>
      </w:r>
      <w:r w:rsidRPr="00727D43">
        <w:rPr>
          <w:rFonts w:ascii="Avenir Next" w:eastAsia="Avenir Next LT Pro" w:hAnsi="Avenir Next" w:cs="Avenir Next LT Pro"/>
          <w:b/>
          <w:bCs/>
          <w:color w:val="212529"/>
          <w:sz w:val="22"/>
          <w:szCs w:val="22"/>
        </w:rPr>
        <w:t>convertible and stackable</w:t>
      </w:r>
      <w:r w:rsidRPr="00727D43">
        <w:rPr>
          <w:rFonts w:ascii="Avenir Next" w:eastAsia="Avenir Next LT Pro" w:hAnsi="Avenir Next" w:cs="Avenir Next LT Pro"/>
          <w:color w:val="212529"/>
          <w:sz w:val="22"/>
          <w:szCs w:val="22"/>
        </w:rPr>
        <w:t xml:space="preserve"> with credit-bearing programs. A state crosswalk of non-credit to credit courses and programs will improve </w:t>
      </w:r>
      <w:r w:rsidR="000E0F1A">
        <w:rPr>
          <w:rFonts w:ascii="Avenir Next" w:eastAsia="Avenir Next LT Pro" w:hAnsi="Avenir Next" w:cs="Avenir Next LT Pro"/>
          <w:color w:val="212529"/>
          <w:sz w:val="22"/>
          <w:szCs w:val="22"/>
        </w:rPr>
        <w:t xml:space="preserve">the </w:t>
      </w:r>
      <w:r w:rsidRPr="00727D43">
        <w:rPr>
          <w:rFonts w:ascii="Avenir Next" w:eastAsia="Avenir Next LT Pro" w:hAnsi="Avenir Next" w:cs="Avenir Next LT Pro"/>
          <w:color w:val="212529"/>
          <w:sz w:val="22"/>
          <w:szCs w:val="22"/>
        </w:rPr>
        <w:t xml:space="preserve">transferability of workforce education courses across institutions and throughout students’ pathways, from high school dual credit programs through pathways for adult learners to support ongoing reskilling, upskilling, and career advancement. This state crosswalk </w:t>
      </w:r>
      <w:r w:rsidR="00111474">
        <w:rPr>
          <w:rFonts w:ascii="Avenir Next" w:eastAsia="Avenir Next LT Pro" w:hAnsi="Avenir Next" w:cs="Avenir Next LT Pro"/>
          <w:color w:val="212529"/>
          <w:sz w:val="22"/>
          <w:szCs w:val="22"/>
        </w:rPr>
        <w:t>w</w:t>
      </w:r>
      <w:r w:rsidRPr="00727D43">
        <w:rPr>
          <w:rFonts w:ascii="Avenir Next" w:eastAsia="Avenir Next LT Pro" w:hAnsi="Avenir Next" w:cs="Avenir Next LT Pro"/>
          <w:color w:val="212529"/>
          <w:sz w:val="22"/>
          <w:szCs w:val="22"/>
        </w:rPr>
        <w:t>ould also facilitate and improve the mobility of credit awarded for students’ prior work experience. Projects already underway through the Governor’s Tri-agency Workforce Initiative to clarify and streamline career pathways should be considered in these specifications of stackable credentials.</w:t>
      </w:r>
    </w:p>
    <w:p w14:paraId="76D85CCD" w14:textId="77777777" w:rsidR="008D76C0" w:rsidRPr="00727D43" w:rsidRDefault="008D76C0" w:rsidP="00EB52C5">
      <w:pPr>
        <w:rPr>
          <w:rFonts w:ascii="Avenir Next" w:eastAsia="Avenir Next LT Pro" w:hAnsi="Avenir Next" w:cs="Avenir Next LT Pro"/>
          <w:b/>
          <w:bCs/>
          <w:color w:val="412056"/>
          <w:sz w:val="32"/>
          <w:szCs w:val="32"/>
        </w:rPr>
      </w:pPr>
      <w:r w:rsidRPr="00727D43">
        <w:rPr>
          <w:rFonts w:ascii="Avenir Next" w:eastAsia="Avenir Next LT Pro" w:hAnsi="Avenir Next" w:cs="Avenir Next LT Pro"/>
          <w:b/>
          <w:bCs/>
          <w:color w:val="412056"/>
        </w:rPr>
        <w:br w:type="page"/>
      </w:r>
    </w:p>
    <w:p w14:paraId="377350D8" w14:textId="21817D51" w:rsidR="00CF705C" w:rsidRDefault="008E61E5" w:rsidP="00486087">
      <w:pPr>
        <w:pStyle w:val="Heading1"/>
        <w:jc w:val="center"/>
        <w:rPr>
          <w:rFonts w:eastAsia="Avenir Next LT Pro"/>
        </w:rPr>
      </w:pPr>
      <w:bookmarkStart w:id="19" w:name="_Conclusion"/>
      <w:bookmarkEnd w:id="19"/>
      <w:r w:rsidRPr="00727D43">
        <w:rPr>
          <w:rFonts w:ascii="Avenir Next" w:eastAsia="Avenir Next LT Pro" w:hAnsi="Avenir Next" w:cs="Avenir Next LT Pro"/>
          <w:b/>
          <w:bCs/>
        </w:rPr>
        <w:t>Conclusion</w:t>
      </w:r>
    </w:p>
    <w:p w14:paraId="637DE015" w14:textId="29B247A5" w:rsidR="008E61E5" w:rsidRPr="00727D43" w:rsidRDefault="008E61E5" w:rsidP="00EB52C5">
      <w:pPr>
        <w:pStyle w:val="NormalWeb"/>
        <w:rPr>
          <w:rFonts w:ascii="Avenir Next" w:eastAsia="Avenir Next LT Pro" w:hAnsi="Avenir Next" w:cs="Avenir Next LT Pro"/>
          <w:sz w:val="22"/>
          <w:szCs w:val="22"/>
        </w:rPr>
      </w:pPr>
      <w:r w:rsidRPr="00727D43">
        <w:rPr>
          <w:rFonts w:ascii="Avenir Next" w:eastAsia="Avenir Next LT Pro" w:hAnsi="Avenir Next" w:cs="Avenir Next LT Pro"/>
          <w:sz w:val="22"/>
          <w:szCs w:val="22"/>
        </w:rPr>
        <w:t xml:space="preserve">These recommendations </w:t>
      </w:r>
      <w:r w:rsidR="00056543">
        <w:rPr>
          <w:rFonts w:ascii="Avenir Next" w:eastAsia="Avenir Next LT Pro" w:hAnsi="Avenir Next" w:cs="Avenir Next LT Pro"/>
          <w:sz w:val="22"/>
          <w:szCs w:val="22"/>
        </w:rPr>
        <w:t xml:space="preserve">from </w:t>
      </w:r>
      <w:r w:rsidR="0071644E">
        <w:rPr>
          <w:rFonts w:ascii="Avenir Next" w:eastAsia="Avenir Next LT Pro" w:hAnsi="Avenir Next" w:cs="Avenir Next LT Pro"/>
          <w:sz w:val="22"/>
          <w:szCs w:val="22"/>
        </w:rPr>
        <w:t>the Commission</w:t>
      </w:r>
      <w:r w:rsidR="0071644E" w:rsidRPr="00727D43">
        <w:rPr>
          <w:rFonts w:ascii="Avenir Next" w:eastAsia="Avenir Next LT Pro" w:hAnsi="Avenir Next" w:cs="Avenir Next LT Pro"/>
          <w:sz w:val="22"/>
          <w:szCs w:val="22"/>
        </w:rPr>
        <w:t xml:space="preserve"> </w:t>
      </w:r>
      <w:r w:rsidRPr="00727D43">
        <w:rPr>
          <w:rFonts w:ascii="Avenir Next" w:eastAsia="Avenir Next LT Pro" w:hAnsi="Avenir Next" w:cs="Avenir Next LT Pro"/>
          <w:sz w:val="22"/>
          <w:szCs w:val="22"/>
        </w:rPr>
        <w:t xml:space="preserve">are both aspirational and achievable. Once implemented, they will expand Texans’ access to two-year colleges and create far greater opportunities for students to earn </w:t>
      </w:r>
      <w:r w:rsidR="00056543">
        <w:rPr>
          <w:rFonts w:ascii="Avenir Next" w:eastAsia="Avenir Next LT Pro" w:hAnsi="Avenir Next" w:cs="Avenir Next LT Pro"/>
          <w:sz w:val="22"/>
          <w:szCs w:val="22"/>
        </w:rPr>
        <w:t xml:space="preserve">the </w:t>
      </w:r>
      <w:r w:rsidRPr="00727D43">
        <w:rPr>
          <w:rFonts w:ascii="Avenir Next" w:eastAsia="Avenir Next LT Pro" w:hAnsi="Avenir Next" w:cs="Avenir Next LT Pro"/>
          <w:sz w:val="22"/>
          <w:szCs w:val="22"/>
        </w:rPr>
        <w:t>credentials of value that prepare them for well-paying, high-demand jobs in our changing economy.</w:t>
      </w:r>
    </w:p>
    <w:p w14:paraId="6F0A823B" w14:textId="02FB1BC2" w:rsidR="008E61E5" w:rsidRPr="00727D43" w:rsidRDefault="008E61E5" w:rsidP="00EB52C5">
      <w:pPr>
        <w:pStyle w:val="NormalWeb"/>
        <w:rPr>
          <w:rFonts w:ascii="Avenir Next" w:eastAsia="Avenir Next LT Pro" w:hAnsi="Avenir Next" w:cs="Avenir Next LT Pro"/>
          <w:sz w:val="22"/>
          <w:szCs w:val="22"/>
        </w:rPr>
      </w:pPr>
      <w:r w:rsidRPr="00727D43">
        <w:rPr>
          <w:rFonts w:ascii="Avenir Next" w:eastAsia="Avenir Next LT Pro" w:hAnsi="Avenir Next" w:cs="Avenir Next LT Pro"/>
          <w:sz w:val="22"/>
          <w:szCs w:val="22"/>
        </w:rPr>
        <w:t xml:space="preserve">The Commission’s recommendations will require a significant state commitment of new funding for formulas, student financial aid, and targeted investments in community </w:t>
      </w:r>
      <w:r w:rsidR="00056543">
        <w:rPr>
          <w:rFonts w:ascii="Avenir Next" w:eastAsia="Avenir Next LT Pro" w:hAnsi="Avenir Next" w:cs="Avenir Next LT Pro"/>
          <w:sz w:val="22"/>
          <w:szCs w:val="22"/>
        </w:rPr>
        <w:t>colleges’</w:t>
      </w:r>
      <w:r w:rsidRPr="00727D43">
        <w:rPr>
          <w:rFonts w:ascii="Avenir Next" w:eastAsia="Avenir Next LT Pro" w:hAnsi="Avenir Next" w:cs="Avenir Next LT Pro"/>
          <w:sz w:val="22"/>
          <w:szCs w:val="22"/>
        </w:rPr>
        <w:t xml:space="preserve"> capacity. These proposals are squarely focused on meeting the individual needs of hundreds of thousands of Texas students and employers. At the same time, they are designed to support a broad range of state and local policies that will serve a diverse range of communities and student populations. </w:t>
      </w:r>
    </w:p>
    <w:p w14:paraId="01331443" w14:textId="2ABC862A" w:rsidR="008E61E5" w:rsidRPr="00727D43" w:rsidRDefault="008E61E5" w:rsidP="00EB52C5">
      <w:pPr>
        <w:pStyle w:val="NormalWeb"/>
        <w:rPr>
          <w:rFonts w:ascii="Avenir Next" w:hAnsi="Avenir Next"/>
          <w:sz w:val="22"/>
          <w:szCs w:val="22"/>
        </w:rPr>
      </w:pPr>
      <w:r w:rsidRPr="00727D43">
        <w:rPr>
          <w:rFonts w:ascii="Avenir Next" w:hAnsi="Avenir Next" w:cstheme="minorBidi"/>
          <w:sz w:val="22"/>
          <w:szCs w:val="22"/>
        </w:rPr>
        <w:t xml:space="preserve">To enact these recommendations, the Texas Legislature must invest resources in the proposed dynamic, outcomes-based funding formulas, especially as colleges respond to new incentives. State funding will </w:t>
      </w:r>
      <w:r w:rsidR="00412ECC">
        <w:rPr>
          <w:rFonts w:ascii="Avenir Next" w:hAnsi="Avenir Next" w:cstheme="minorBidi"/>
          <w:sz w:val="22"/>
          <w:szCs w:val="22"/>
        </w:rPr>
        <w:t>also be</w:t>
      </w:r>
      <w:r w:rsidRPr="00727D43">
        <w:rPr>
          <w:rFonts w:ascii="Avenir Next" w:hAnsi="Avenir Next" w:cstheme="minorBidi"/>
          <w:sz w:val="22"/>
          <w:szCs w:val="22"/>
        </w:rPr>
        <w:t xml:space="preserve"> essential to ensure all colleges have funding for instruction and operations that recognizes cost differences due to student needs and college size. Additional funding for need-based student financial aid will expand opportunities through community colleges to students across Texas.</w:t>
      </w:r>
    </w:p>
    <w:p w14:paraId="1F9D0783" w14:textId="03EB1E4C" w:rsidR="008E61E5" w:rsidRPr="00C0711D" w:rsidRDefault="00727D43" w:rsidP="00EB52C5">
      <w:pPr>
        <w:pStyle w:val="NormalWeb"/>
        <w:rPr>
          <w:rFonts w:ascii="Avenir Next" w:hAnsi="Avenir Next" w:cstheme="minorBidi"/>
          <w:sz w:val="22"/>
          <w:szCs w:val="22"/>
        </w:rPr>
      </w:pPr>
      <w:r w:rsidRPr="00727D43">
        <w:rPr>
          <w:rFonts w:ascii="Avenir Next" w:hAnsi="Avenir Next" w:cstheme="minorBidi"/>
          <w:sz w:val="22"/>
          <w:szCs w:val="22"/>
        </w:rPr>
        <w:t xml:space="preserve">To implement the Commission’s recommendations, </w:t>
      </w:r>
      <w:r w:rsidR="0071644E">
        <w:rPr>
          <w:rFonts w:ascii="Avenir Next" w:hAnsi="Avenir Next" w:cstheme="minorBidi"/>
          <w:sz w:val="22"/>
          <w:szCs w:val="22"/>
        </w:rPr>
        <w:t xml:space="preserve">the Coordinating Board </w:t>
      </w:r>
      <w:r w:rsidRPr="00727D43">
        <w:rPr>
          <w:rFonts w:ascii="Avenir Next" w:hAnsi="Avenir Next" w:cstheme="minorBidi"/>
          <w:sz w:val="22"/>
          <w:szCs w:val="22"/>
        </w:rPr>
        <w:t xml:space="preserve">will need to provide broader support services for community colleges. </w:t>
      </w:r>
      <w:r w:rsidR="008E61E5" w:rsidRPr="00727D43">
        <w:rPr>
          <w:rFonts w:ascii="Avenir Next" w:hAnsi="Avenir Next" w:cstheme="minorBidi"/>
          <w:sz w:val="22"/>
          <w:szCs w:val="22"/>
        </w:rPr>
        <w:t xml:space="preserve">Full implementation of these changes will take time, and </w:t>
      </w:r>
      <w:r w:rsidR="0071644E">
        <w:rPr>
          <w:rFonts w:ascii="Avenir Next" w:hAnsi="Avenir Next" w:cstheme="minorBidi"/>
          <w:sz w:val="22"/>
          <w:szCs w:val="22"/>
        </w:rPr>
        <w:t>the Coordinating Board</w:t>
      </w:r>
      <w:r w:rsidR="0071644E" w:rsidRPr="00727D43">
        <w:rPr>
          <w:rFonts w:ascii="Avenir Next" w:hAnsi="Avenir Next" w:cstheme="minorBidi"/>
          <w:sz w:val="22"/>
          <w:szCs w:val="22"/>
        </w:rPr>
        <w:t xml:space="preserve"> </w:t>
      </w:r>
      <w:r w:rsidR="008E61E5" w:rsidRPr="00727D43">
        <w:rPr>
          <w:rFonts w:ascii="Avenir Next" w:hAnsi="Avenir Next" w:cstheme="minorBidi"/>
          <w:sz w:val="22"/>
          <w:szCs w:val="22"/>
        </w:rPr>
        <w:t xml:space="preserve">will need to work in close consultation with colleges to specify and implement the new </w:t>
      </w:r>
      <w:r w:rsidR="004639AA">
        <w:rPr>
          <w:rFonts w:ascii="Avenir Next" w:hAnsi="Avenir Next" w:cstheme="minorBidi"/>
          <w:sz w:val="22"/>
          <w:szCs w:val="22"/>
        </w:rPr>
        <w:t xml:space="preserve">funding </w:t>
      </w:r>
      <w:r w:rsidR="008E61E5" w:rsidRPr="00727D43">
        <w:rPr>
          <w:rFonts w:ascii="Avenir Next" w:hAnsi="Avenir Next" w:cstheme="minorBidi"/>
          <w:sz w:val="22"/>
          <w:szCs w:val="22"/>
        </w:rPr>
        <w:t xml:space="preserve">formulas. </w:t>
      </w:r>
      <w:r w:rsidR="0071644E">
        <w:rPr>
          <w:rFonts w:ascii="Avenir Next" w:hAnsi="Avenir Next" w:cstheme="minorBidi"/>
          <w:sz w:val="22"/>
          <w:szCs w:val="22"/>
        </w:rPr>
        <w:t xml:space="preserve">The Coordinating Board </w:t>
      </w:r>
      <w:r w:rsidR="008E61E5" w:rsidRPr="00727D43">
        <w:rPr>
          <w:rFonts w:ascii="Avenir Next" w:hAnsi="Avenir Next" w:cstheme="minorBidi"/>
          <w:sz w:val="22"/>
          <w:szCs w:val="22"/>
        </w:rPr>
        <w:t xml:space="preserve">will be called upon to provide timely and actionable data about community college student enrollments and outcomes, changing regional and state labor markets, demand for credentials, and graduates’ earnings. </w:t>
      </w:r>
      <w:r w:rsidR="00111474">
        <w:rPr>
          <w:rFonts w:ascii="Avenir Next" w:hAnsi="Avenir Next" w:cstheme="minorBidi"/>
          <w:sz w:val="22"/>
          <w:szCs w:val="22"/>
        </w:rPr>
        <w:t xml:space="preserve"> In addition, the Coordinating Board will </w:t>
      </w:r>
      <w:r w:rsidR="004639AA">
        <w:rPr>
          <w:rFonts w:ascii="Avenir Next" w:hAnsi="Avenir Next" w:cstheme="minorBidi"/>
          <w:sz w:val="22"/>
          <w:szCs w:val="22"/>
        </w:rPr>
        <w:t>need</w:t>
      </w:r>
      <w:r w:rsidR="00111474">
        <w:rPr>
          <w:rFonts w:ascii="Avenir Next" w:hAnsi="Avenir Next" w:cstheme="minorBidi"/>
          <w:sz w:val="22"/>
          <w:szCs w:val="22"/>
        </w:rPr>
        <w:t xml:space="preserve"> to utilize its convening capacity to bring </w:t>
      </w:r>
      <w:r w:rsidR="00C0711D">
        <w:rPr>
          <w:rFonts w:ascii="Avenir Next" w:hAnsi="Avenir Next" w:cstheme="minorBidi"/>
          <w:sz w:val="22"/>
          <w:szCs w:val="22"/>
        </w:rPr>
        <w:t>community college leaders and other stakeholders</w:t>
      </w:r>
      <w:r w:rsidR="00111474">
        <w:rPr>
          <w:rFonts w:ascii="Avenir Next" w:hAnsi="Avenir Next" w:cstheme="minorBidi"/>
          <w:sz w:val="22"/>
          <w:szCs w:val="22"/>
        </w:rPr>
        <w:t xml:space="preserve"> to the table </w:t>
      </w:r>
      <w:r w:rsidR="00C0711D">
        <w:rPr>
          <w:rFonts w:ascii="Avenir Next" w:hAnsi="Avenir Next" w:cstheme="minorBidi"/>
          <w:sz w:val="22"/>
          <w:szCs w:val="22"/>
        </w:rPr>
        <w:t>to</w:t>
      </w:r>
      <w:r w:rsidR="00111474">
        <w:rPr>
          <w:rFonts w:ascii="Avenir Next" w:hAnsi="Avenir Next" w:cstheme="minorBidi"/>
          <w:sz w:val="22"/>
          <w:szCs w:val="22"/>
        </w:rPr>
        <w:t xml:space="preserve"> foster development of </w:t>
      </w:r>
      <w:r w:rsidR="00C0711D" w:rsidRPr="00727D43">
        <w:rPr>
          <w:rFonts w:ascii="Avenir Next" w:hAnsi="Avenir Next" w:cstheme="minorBidi"/>
          <w:sz w:val="22"/>
          <w:szCs w:val="22"/>
        </w:rPr>
        <w:t>shared services and stronger inter-institutional partnerships</w:t>
      </w:r>
      <w:r w:rsidR="00C0711D">
        <w:rPr>
          <w:rFonts w:ascii="Avenir Next" w:hAnsi="Avenir Next" w:cstheme="minorBidi"/>
          <w:sz w:val="22"/>
          <w:szCs w:val="22"/>
        </w:rPr>
        <w:t>.</w:t>
      </w:r>
    </w:p>
    <w:p w14:paraId="6635F6C5" w14:textId="6663EB71" w:rsidR="008E61E5" w:rsidRPr="00727D43" w:rsidRDefault="008E61E5" w:rsidP="00EB52C5">
      <w:pPr>
        <w:pStyle w:val="NormalWeb"/>
        <w:rPr>
          <w:rFonts w:ascii="Avenir Next" w:hAnsi="Avenir Next"/>
          <w:sz w:val="22"/>
          <w:szCs w:val="22"/>
        </w:rPr>
      </w:pPr>
      <w:r w:rsidRPr="00727D43">
        <w:rPr>
          <w:rFonts w:ascii="Avenir Next" w:hAnsi="Avenir Next" w:cstheme="minorBidi"/>
          <w:sz w:val="22"/>
          <w:szCs w:val="22"/>
        </w:rPr>
        <w:t xml:space="preserve">The Commission recognizes </w:t>
      </w:r>
      <w:r w:rsidR="00412ECC">
        <w:rPr>
          <w:rFonts w:ascii="Avenir Next" w:hAnsi="Avenir Next" w:cstheme="minorBidi"/>
          <w:sz w:val="22"/>
          <w:szCs w:val="22"/>
        </w:rPr>
        <w:t xml:space="preserve">that </w:t>
      </w:r>
      <w:r w:rsidRPr="00727D43">
        <w:rPr>
          <w:rFonts w:ascii="Avenir Next" w:hAnsi="Avenir Next" w:cstheme="minorBidi"/>
          <w:sz w:val="22"/>
          <w:szCs w:val="22"/>
        </w:rPr>
        <w:t xml:space="preserve">the primary responsibility for implementing this new funding system rests with Texas community colleges. The new state investments and major policy changes recommended by the Commission are designed to better support </w:t>
      </w:r>
      <w:r w:rsidR="00056543">
        <w:rPr>
          <w:rFonts w:ascii="Avenir Next" w:hAnsi="Avenir Next" w:cstheme="minorBidi"/>
          <w:sz w:val="22"/>
          <w:szCs w:val="22"/>
        </w:rPr>
        <w:t>these schools</w:t>
      </w:r>
      <w:r w:rsidRPr="00727D43">
        <w:rPr>
          <w:rFonts w:ascii="Avenir Next" w:hAnsi="Avenir Next" w:cstheme="minorBidi"/>
          <w:sz w:val="22"/>
          <w:szCs w:val="22"/>
        </w:rPr>
        <w:t xml:space="preserve"> in serving their students and local communities and addressing rapidly changing regional and state workforce needs.</w:t>
      </w:r>
    </w:p>
    <w:p w14:paraId="567394C7" w14:textId="06B2C517" w:rsidR="00996DDA" w:rsidRPr="00727D43" w:rsidRDefault="008E61E5" w:rsidP="00EB52C5">
      <w:pPr>
        <w:pStyle w:val="NormalWeb"/>
        <w:rPr>
          <w:rFonts w:ascii="Avenir Next" w:hAnsi="Avenir Next" w:cstheme="minorHAnsi"/>
          <w:sz w:val="22"/>
          <w:szCs w:val="22"/>
        </w:rPr>
      </w:pPr>
      <w:r w:rsidRPr="00727D43">
        <w:rPr>
          <w:rFonts w:ascii="Avenir Next" w:hAnsi="Avenir Next" w:cstheme="minorHAnsi"/>
          <w:sz w:val="22"/>
          <w:szCs w:val="22"/>
        </w:rPr>
        <w:t xml:space="preserve">Ultimately, every additional dollar Texas invests in our community colleges can translate into greater opportunities across the state and a higher-performing state workforce </w:t>
      </w:r>
      <w:r w:rsidR="00056543">
        <w:rPr>
          <w:rFonts w:ascii="Avenir Next" w:hAnsi="Avenir Next" w:cstheme="minorHAnsi"/>
          <w:sz w:val="22"/>
          <w:szCs w:val="22"/>
        </w:rPr>
        <w:t>that</w:t>
      </w:r>
      <w:r w:rsidRPr="00727D43">
        <w:rPr>
          <w:rFonts w:ascii="Avenir Next" w:hAnsi="Avenir Next" w:cstheme="minorHAnsi"/>
          <w:sz w:val="22"/>
          <w:szCs w:val="22"/>
        </w:rPr>
        <w:t xml:space="preserve"> will draw new investment and jobs. Strategic investments in community college outcomes, affordability, and capacity will secure our state’s leadership in higher education and workforce development — and elevate Texas families and employers for decades to come.</w:t>
      </w:r>
    </w:p>
    <w:p w14:paraId="0A50F935" w14:textId="77777777" w:rsidR="00EB52C5" w:rsidRPr="00727D43" w:rsidRDefault="00EB52C5" w:rsidP="00727D43">
      <w:pPr>
        <w:pStyle w:val="NormalWeb"/>
      </w:pPr>
    </w:p>
    <w:p w14:paraId="57AE2DB9" w14:textId="77777777" w:rsidR="00A15787" w:rsidRDefault="00A15787">
      <w:pPr>
        <w:rPr>
          <w:rFonts w:ascii="Avenir Next" w:eastAsiaTheme="majorEastAsia" w:hAnsi="Avenir Next" w:cstheme="majorBidi"/>
          <w:b/>
          <w:bCs/>
          <w:color w:val="2F5496" w:themeColor="accent1" w:themeShade="BF"/>
          <w:sz w:val="32"/>
          <w:szCs w:val="32"/>
        </w:rPr>
      </w:pPr>
      <w:bookmarkStart w:id="20" w:name="_Process_and_Approach"/>
      <w:bookmarkEnd w:id="20"/>
      <w:r>
        <w:rPr>
          <w:rFonts w:ascii="Avenir Next" w:hAnsi="Avenir Next"/>
          <w:b/>
          <w:bCs/>
        </w:rPr>
        <w:br w:type="page"/>
      </w:r>
    </w:p>
    <w:p w14:paraId="5F752CAF" w14:textId="42C34155" w:rsidR="00EB52C5" w:rsidRPr="00727D43" w:rsidRDefault="00EB52C5" w:rsidP="00EB52C5">
      <w:pPr>
        <w:pStyle w:val="Heading1"/>
        <w:jc w:val="center"/>
        <w:rPr>
          <w:rFonts w:ascii="Avenir Next" w:hAnsi="Avenir Next"/>
          <w:b/>
          <w:bCs/>
        </w:rPr>
      </w:pPr>
      <w:r w:rsidRPr="00727D43">
        <w:rPr>
          <w:rFonts w:ascii="Avenir Next" w:hAnsi="Avenir Next"/>
          <w:b/>
          <w:bCs/>
        </w:rPr>
        <w:t>Process and Approach</w:t>
      </w:r>
    </w:p>
    <w:p w14:paraId="2D402BE3" w14:textId="77777777" w:rsidR="00EB52C5" w:rsidRPr="00996DDA" w:rsidRDefault="00EB52C5" w:rsidP="00EB52C5">
      <w:pPr>
        <w:rPr>
          <w:rFonts w:ascii="Avenir Next" w:hAnsi="Avenir Next" w:cstheme="minorHAnsi"/>
          <w:sz w:val="22"/>
          <w:szCs w:val="22"/>
        </w:rPr>
      </w:pPr>
    </w:p>
    <w:p w14:paraId="11E0760A" w14:textId="4BC38955" w:rsidR="00EB52C5" w:rsidRPr="00727D43" w:rsidRDefault="00EB52C5" w:rsidP="00EB52C5">
      <w:pPr>
        <w:rPr>
          <w:rFonts w:ascii="Avenir Next" w:hAnsi="Avenir Next" w:cstheme="minorHAnsi"/>
          <w:color w:val="000000" w:themeColor="text1"/>
          <w:sz w:val="22"/>
          <w:szCs w:val="22"/>
          <w:shd w:val="clear" w:color="auto" w:fill="FFFFFF"/>
        </w:rPr>
      </w:pPr>
      <w:r w:rsidRPr="00727D43">
        <w:rPr>
          <w:rFonts w:ascii="Avenir Next" w:hAnsi="Avenir Next" w:cstheme="minorHAnsi"/>
          <w:color w:val="000000" w:themeColor="text1"/>
          <w:sz w:val="22"/>
          <w:szCs w:val="22"/>
        </w:rPr>
        <w:t>After the 87</w:t>
      </w:r>
      <w:r w:rsidRPr="00727D43">
        <w:rPr>
          <w:rFonts w:ascii="Avenir Next" w:hAnsi="Avenir Next" w:cstheme="minorHAnsi"/>
          <w:color w:val="000000" w:themeColor="text1"/>
          <w:sz w:val="22"/>
          <w:szCs w:val="22"/>
          <w:vertAlign w:val="superscript"/>
        </w:rPr>
        <w:t>th</w:t>
      </w:r>
      <w:r w:rsidRPr="00727D43">
        <w:rPr>
          <w:rFonts w:ascii="Avenir Next" w:hAnsi="Avenir Next" w:cstheme="minorHAnsi"/>
          <w:color w:val="000000" w:themeColor="text1"/>
          <w:sz w:val="22"/>
          <w:szCs w:val="22"/>
        </w:rPr>
        <w:t xml:space="preserve"> Texas Legislature established the Commission through Senate Bill 1230 last spring, </w:t>
      </w:r>
      <w:r w:rsidRPr="00727D43">
        <w:rPr>
          <w:rFonts w:ascii="Avenir Next" w:hAnsi="Avenir Next" w:cstheme="minorHAnsi"/>
          <w:color w:val="000000" w:themeColor="text1"/>
          <w:sz w:val="22"/>
          <w:szCs w:val="22"/>
          <w:shd w:val="clear" w:color="auto" w:fill="FFFFFF"/>
        </w:rPr>
        <w:t xml:space="preserve">Gov. Greg Abbott, Lt. Gov. Dan Patrick, House Speaker Dade Phelan, the Texas Association of Community Colleges (TACC), and the Community College Association of Texas Trustees (CCATT) appointed the 12 </w:t>
      </w:r>
      <w:r w:rsidR="004353B9">
        <w:rPr>
          <w:rFonts w:ascii="Avenir Next" w:hAnsi="Avenir Next" w:cstheme="minorHAnsi"/>
          <w:color w:val="000000" w:themeColor="text1"/>
          <w:sz w:val="22"/>
          <w:szCs w:val="22"/>
          <w:shd w:val="clear" w:color="auto" w:fill="FFFFFF"/>
        </w:rPr>
        <w:t>C</w:t>
      </w:r>
      <w:r w:rsidRPr="00727D43">
        <w:rPr>
          <w:rFonts w:ascii="Avenir Next" w:hAnsi="Avenir Next" w:cstheme="minorHAnsi"/>
          <w:color w:val="000000" w:themeColor="text1"/>
          <w:sz w:val="22"/>
          <w:szCs w:val="22"/>
          <w:shd w:val="clear" w:color="auto" w:fill="FFFFFF"/>
        </w:rPr>
        <w:t>ommission members.</w:t>
      </w:r>
    </w:p>
    <w:p w14:paraId="6B1D178D" w14:textId="77777777" w:rsidR="00EB52C5" w:rsidRPr="00727D43" w:rsidRDefault="00EB52C5" w:rsidP="00EB52C5">
      <w:pPr>
        <w:rPr>
          <w:rFonts w:ascii="Avenir Next" w:hAnsi="Avenir Next" w:cstheme="minorHAnsi"/>
          <w:color w:val="000000" w:themeColor="text1"/>
          <w:sz w:val="22"/>
          <w:szCs w:val="22"/>
          <w:shd w:val="clear" w:color="auto" w:fill="FFFFFF"/>
        </w:rPr>
      </w:pPr>
    </w:p>
    <w:p w14:paraId="561D65B8" w14:textId="77777777" w:rsidR="00EB52C5" w:rsidRPr="00727D43" w:rsidRDefault="00EB52C5" w:rsidP="00EB52C5">
      <w:pPr>
        <w:rPr>
          <w:rFonts w:ascii="Avenir Next" w:hAnsi="Avenir Next" w:cstheme="minorHAnsi"/>
          <w:color w:val="000000" w:themeColor="text1"/>
          <w:sz w:val="22"/>
          <w:szCs w:val="22"/>
          <w:shd w:val="clear" w:color="auto" w:fill="FFFFFF"/>
        </w:rPr>
      </w:pPr>
      <w:r w:rsidRPr="00727D43">
        <w:rPr>
          <w:rFonts w:ascii="Avenir Next" w:hAnsi="Avenir Next" w:cstheme="minorHAnsi"/>
          <w:color w:val="000000" w:themeColor="text1"/>
          <w:sz w:val="22"/>
          <w:szCs w:val="22"/>
          <w:shd w:val="clear" w:color="auto" w:fill="FFFFFF"/>
        </w:rPr>
        <w:t>The group included lawmakers, community college leaders, and experts in policy and workforce issues from across the state. It immediately began what would become a year-long effort to thoroughly understand the challenges of the state’s established community college funding model; identify opportunities for improvement; and assess the needs of Texas employers and workers.</w:t>
      </w:r>
    </w:p>
    <w:p w14:paraId="40D43A75" w14:textId="77777777" w:rsidR="00EB52C5" w:rsidRPr="00727D43" w:rsidRDefault="00EB52C5" w:rsidP="00EB52C5">
      <w:pPr>
        <w:rPr>
          <w:rFonts w:ascii="Avenir Next" w:hAnsi="Avenir Next" w:cstheme="minorHAnsi"/>
          <w:color w:val="000000" w:themeColor="text1"/>
          <w:sz w:val="22"/>
          <w:szCs w:val="22"/>
          <w:shd w:val="clear" w:color="auto" w:fill="FFFFFF"/>
        </w:rPr>
      </w:pPr>
    </w:p>
    <w:p w14:paraId="28D36296" w14:textId="47614D26" w:rsidR="00EB52C5" w:rsidRPr="00727D43" w:rsidRDefault="00EB52C5" w:rsidP="00EB52C5">
      <w:pPr>
        <w:rPr>
          <w:rFonts w:ascii="Avenir Next" w:hAnsi="Avenir Next" w:cstheme="minorHAnsi"/>
          <w:color w:val="000000" w:themeColor="text1"/>
          <w:sz w:val="22"/>
          <w:szCs w:val="22"/>
          <w:shd w:val="clear" w:color="auto" w:fill="FFFFFF"/>
        </w:rPr>
      </w:pPr>
      <w:r w:rsidRPr="00727D43">
        <w:rPr>
          <w:rFonts w:ascii="Avenir Next" w:hAnsi="Avenir Next" w:cstheme="minorHAnsi"/>
          <w:color w:val="000000" w:themeColor="text1"/>
          <w:sz w:val="22"/>
          <w:szCs w:val="22"/>
          <w:shd w:val="clear" w:color="auto" w:fill="FFFFFF"/>
        </w:rPr>
        <w:t xml:space="preserve">Under the leadership of Chairman Woody Hunt and with guidance from Texas Higher Education Commissioner Harrison Keller, </w:t>
      </w:r>
      <w:r w:rsidR="0071644E">
        <w:rPr>
          <w:rFonts w:ascii="Avenir Next" w:hAnsi="Avenir Next" w:cstheme="minorHAnsi"/>
          <w:color w:val="000000" w:themeColor="text1"/>
          <w:sz w:val="22"/>
          <w:szCs w:val="22"/>
          <w:shd w:val="clear" w:color="auto" w:fill="FFFFFF"/>
        </w:rPr>
        <w:t>the Commission</w:t>
      </w:r>
      <w:r w:rsidR="0071644E" w:rsidRPr="00727D43">
        <w:rPr>
          <w:rFonts w:ascii="Avenir Next" w:hAnsi="Avenir Next" w:cstheme="minorHAnsi"/>
          <w:color w:val="000000" w:themeColor="text1"/>
          <w:sz w:val="22"/>
          <w:szCs w:val="22"/>
          <w:shd w:val="clear" w:color="auto" w:fill="FFFFFF"/>
        </w:rPr>
        <w:t xml:space="preserve"> </w:t>
      </w:r>
      <w:r w:rsidRPr="00727D43">
        <w:rPr>
          <w:rFonts w:ascii="Avenir Next" w:hAnsi="Avenir Next" w:cstheme="minorHAnsi"/>
          <w:color w:val="000000" w:themeColor="text1"/>
          <w:sz w:val="22"/>
          <w:szCs w:val="22"/>
          <w:shd w:val="clear" w:color="auto" w:fill="FFFFFF"/>
        </w:rPr>
        <w:t>designed a deliberative process that would allow them to make informed recommendations to the 88</w:t>
      </w:r>
      <w:r w:rsidRPr="00727D43">
        <w:rPr>
          <w:rFonts w:ascii="Avenir Next" w:hAnsi="Avenir Next" w:cstheme="minorHAnsi"/>
          <w:color w:val="000000" w:themeColor="text1"/>
          <w:sz w:val="22"/>
          <w:szCs w:val="22"/>
          <w:shd w:val="clear" w:color="auto" w:fill="FFFFFF"/>
          <w:vertAlign w:val="superscript"/>
        </w:rPr>
        <w:t>th</w:t>
      </w:r>
      <w:r w:rsidRPr="00727D43">
        <w:rPr>
          <w:rFonts w:ascii="Avenir Next" w:hAnsi="Avenir Next" w:cstheme="minorHAnsi"/>
          <w:color w:val="000000" w:themeColor="text1"/>
          <w:sz w:val="22"/>
          <w:szCs w:val="22"/>
          <w:shd w:val="clear" w:color="auto" w:fill="FFFFFF"/>
        </w:rPr>
        <w:t xml:space="preserve"> Texas Legislature to improve the funding model, reduce inequities, and expand colleges’ abilities to award credentials of value. Members focused on commissioning and reviewing research, gathering</w:t>
      </w:r>
      <w:r w:rsidR="00922C75">
        <w:rPr>
          <w:rFonts w:ascii="Avenir Next" w:hAnsi="Avenir Next" w:cstheme="minorHAnsi"/>
          <w:color w:val="000000" w:themeColor="text1"/>
          <w:sz w:val="22"/>
          <w:szCs w:val="22"/>
          <w:shd w:val="clear" w:color="auto" w:fill="FFFFFF"/>
        </w:rPr>
        <w:t>,</w:t>
      </w:r>
      <w:r w:rsidRPr="00727D43">
        <w:rPr>
          <w:rFonts w:ascii="Avenir Next" w:hAnsi="Avenir Next" w:cstheme="minorHAnsi"/>
          <w:color w:val="000000" w:themeColor="text1"/>
          <w:sz w:val="22"/>
          <w:szCs w:val="22"/>
          <w:shd w:val="clear" w:color="auto" w:fill="FFFFFF"/>
        </w:rPr>
        <w:t xml:space="preserve"> and analyzing data, and listening to the entire range of stakeholders statewide.  </w:t>
      </w:r>
    </w:p>
    <w:p w14:paraId="5079E44A" w14:textId="77777777" w:rsidR="00EB52C5" w:rsidRPr="00727D43" w:rsidRDefault="00EB52C5" w:rsidP="00EB52C5">
      <w:pPr>
        <w:rPr>
          <w:rFonts w:ascii="Avenir Next" w:hAnsi="Avenir Next" w:cstheme="minorHAnsi"/>
          <w:color w:val="000000" w:themeColor="text1"/>
          <w:sz w:val="22"/>
          <w:szCs w:val="22"/>
          <w:shd w:val="clear" w:color="auto" w:fill="FFFFFF"/>
        </w:rPr>
      </w:pPr>
    </w:p>
    <w:p w14:paraId="6F37D5E1" w14:textId="5A43BB22" w:rsidR="00EB52C5" w:rsidRPr="00727D43" w:rsidRDefault="00EB52C5" w:rsidP="00EB52C5">
      <w:pPr>
        <w:rPr>
          <w:rFonts w:ascii="Avenir Next" w:hAnsi="Avenir Next" w:cstheme="minorHAnsi"/>
          <w:color w:val="000000" w:themeColor="text1"/>
          <w:sz w:val="22"/>
          <w:szCs w:val="22"/>
          <w:shd w:val="clear" w:color="auto" w:fill="FFFFFF"/>
        </w:rPr>
      </w:pPr>
      <w:r w:rsidRPr="00727D43">
        <w:rPr>
          <w:rFonts w:ascii="Avenir Next" w:hAnsi="Avenir Next" w:cstheme="minorHAnsi"/>
          <w:color w:val="000000" w:themeColor="text1"/>
          <w:sz w:val="22"/>
          <w:szCs w:val="22"/>
          <w:shd w:val="clear" w:color="auto" w:fill="FFFFFF"/>
        </w:rPr>
        <w:t xml:space="preserve">The Commission divided into three working groups on College Operations, Student Support, and Workforce Education that met frequently and conducted deep dives into their assigned areas. The </w:t>
      </w:r>
      <w:r w:rsidR="0071644E">
        <w:rPr>
          <w:rFonts w:ascii="Avenir Next" w:hAnsi="Avenir Next" w:cstheme="minorHAnsi"/>
          <w:color w:val="000000" w:themeColor="text1"/>
          <w:sz w:val="22"/>
          <w:szCs w:val="22"/>
          <w:shd w:val="clear" w:color="auto" w:fill="FFFFFF"/>
        </w:rPr>
        <w:t>C</w:t>
      </w:r>
      <w:r w:rsidRPr="00727D43">
        <w:rPr>
          <w:rFonts w:ascii="Avenir Next" w:hAnsi="Avenir Next" w:cstheme="minorHAnsi"/>
          <w:color w:val="000000" w:themeColor="text1"/>
          <w:sz w:val="22"/>
          <w:szCs w:val="22"/>
          <w:shd w:val="clear" w:color="auto" w:fill="FFFFFF"/>
        </w:rPr>
        <w:t xml:space="preserve">ommission </w:t>
      </w:r>
      <w:r w:rsidR="0071644E">
        <w:rPr>
          <w:rFonts w:ascii="Avenir Next" w:hAnsi="Avenir Next" w:cstheme="minorHAnsi"/>
          <w:color w:val="000000" w:themeColor="text1"/>
          <w:sz w:val="22"/>
          <w:szCs w:val="22"/>
          <w:shd w:val="clear" w:color="auto" w:fill="FFFFFF"/>
        </w:rPr>
        <w:t xml:space="preserve">also </w:t>
      </w:r>
      <w:r w:rsidRPr="00727D43">
        <w:rPr>
          <w:rFonts w:ascii="Avenir Next" w:hAnsi="Avenir Next" w:cstheme="minorHAnsi"/>
          <w:color w:val="000000" w:themeColor="text1"/>
          <w:sz w:val="22"/>
          <w:szCs w:val="22"/>
          <w:shd w:val="clear" w:color="auto" w:fill="FFFFFF"/>
        </w:rPr>
        <w:t>held seven public hearings in Austin between November 2021 and October 2022, which included:</w:t>
      </w:r>
    </w:p>
    <w:p w14:paraId="4C150143" w14:textId="77777777" w:rsidR="00EB52C5" w:rsidRPr="00727D43" w:rsidRDefault="00EB52C5" w:rsidP="00EB52C5">
      <w:pPr>
        <w:rPr>
          <w:rFonts w:ascii="Avenir Next" w:hAnsi="Avenir Next" w:cstheme="minorHAnsi"/>
          <w:color w:val="000000" w:themeColor="text1"/>
          <w:sz w:val="22"/>
          <w:szCs w:val="22"/>
          <w:shd w:val="clear" w:color="auto" w:fill="FFFFFF"/>
        </w:rPr>
      </w:pPr>
    </w:p>
    <w:p w14:paraId="5CDE502A" w14:textId="77777777" w:rsidR="00EB52C5" w:rsidRPr="00727D43" w:rsidRDefault="00EB52C5" w:rsidP="00EB52C5">
      <w:pPr>
        <w:pStyle w:val="ListParagraph"/>
        <w:numPr>
          <w:ilvl w:val="0"/>
          <w:numId w:val="9"/>
        </w:numPr>
        <w:rPr>
          <w:rFonts w:ascii="Avenir Next" w:hAnsi="Avenir Next" w:cstheme="minorHAnsi"/>
          <w:color w:val="000000" w:themeColor="text1"/>
          <w:sz w:val="22"/>
          <w:szCs w:val="22"/>
          <w:shd w:val="clear" w:color="auto" w:fill="FFFFFF"/>
        </w:rPr>
      </w:pPr>
      <w:r w:rsidRPr="00727D43">
        <w:rPr>
          <w:rFonts w:ascii="Avenir Next" w:hAnsi="Avenir Next" w:cstheme="minorHAnsi"/>
          <w:color w:val="000000" w:themeColor="text1"/>
          <w:sz w:val="22"/>
          <w:szCs w:val="22"/>
          <w:shd w:val="clear" w:color="auto" w:fill="FFFFFF"/>
        </w:rPr>
        <w:t>Testimony from state agencies responsible for Texas’ finance and workforce policies, including the Legislative Budget Board, Comptroller of Public Accounts, and Texas Workforce Commission.</w:t>
      </w:r>
    </w:p>
    <w:p w14:paraId="57B63984" w14:textId="77777777" w:rsidR="00EB52C5" w:rsidRPr="00727D43" w:rsidRDefault="00EB52C5" w:rsidP="00EB52C5">
      <w:pPr>
        <w:pStyle w:val="ListParagraph"/>
        <w:numPr>
          <w:ilvl w:val="0"/>
          <w:numId w:val="9"/>
        </w:numPr>
        <w:rPr>
          <w:rFonts w:ascii="Avenir Next" w:hAnsi="Avenir Next" w:cstheme="minorHAnsi"/>
          <w:color w:val="000000" w:themeColor="text1"/>
          <w:sz w:val="22"/>
          <w:szCs w:val="22"/>
          <w:shd w:val="clear" w:color="auto" w:fill="FFFFFF"/>
        </w:rPr>
      </w:pPr>
      <w:r w:rsidRPr="00727D43">
        <w:rPr>
          <w:rFonts w:ascii="Avenir Next" w:hAnsi="Avenir Next" w:cstheme="minorHAnsi"/>
          <w:color w:val="000000" w:themeColor="text1"/>
          <w:sz w:val="22"/>
          <w:szCs w:val="22"/>
          <w:shd w:val="clear" w:color="auto" w:fill="FFFFFF"/>
        </w:rPr>
        <w:t>Panel discussions of community college leaders around enrollment, demographics, and other relevant issues.</w:t>
      </w:r>
    </w:p>
    <w:p w14:paraId="04C96A21" w14:textId="0A5704D6" w:rsidR="00EB52C5" w:rsidRPr="00727D43" w:rsidRDefault="00EB52C5" w:rsidP="00EB52C5">
      <w:pPr>
        <w:pStyle w:val="ListParagraph"/>
        <w:numPr>
          <w:ilvl w:val="0"/>
          <w:numId w:val="9"/>
        </w:numPr>
        <w:rPr>
          <w:rFonts w:ascii="Avenir Next" w:hAnsi="Avenir Next" w:cstheme="minorHAnsi"/>
          <w:color w:val="000000" w:themeColor="text1"/>
          <w:sz w:val="22"/>
          <w:szCs w:val="22"/>
          <w:shd w:val="clear" w:color="auto" w:fill="FFFFFF"/>
        </w:rPr>
      </w:pPr>
      <w:r w:rsidRPr="00727D43">
        <w:rPr>
          <w:rFonts w:ascii="Avenir Next" w:hAnsi="Avenir Next" w:cstheme="minorHAnsi"/>
          <w:color w:val="000000" w:themeColor="text1"/>
          <w:sz w:val="22"/>
          <w:szCs w:val="22"/>
          <w:shd w:val="clear" w:color="auto" w:fill="FFFFFF"/>
        </w:rPr>
        <w:t xml:space="preserve">Testimony from national experts in student success and workforce development, including from the University of Texas System, the Lumina Foundation, </w:t>
      </w:r>
      <w:r w:rsidRPr="00727D43">
        <w:rPr>
          <w:rFonts w:ascii="Avenir Next" w:hAnsi="Avenir Next" w:cs="Calibri"/>
          <w:color w:val="000000" w:themeColor="text1"/>
          <w:sz w:val="22"/>
          <w:szCs w:val="22"/>
          <w:bdr w:val="none" w:sz="0" w:space="0" w:color="auto" w:frame="1"/>
        </w:rPr>
        <w:t>the</w:t>
      </w:r>
      <w:r w:rsidRPr="00727D43">
        <w:rPr>
          <w:rFonts w:ascii="Avenir Next" w:hAnsi="Avenir Next" w:cs="Calibri"/>
          <w:color w:val="000000" w:themeColor="text1"/>
          <w:sz w:val="22"/>
          <w:szCs w:val="22"/>
        </w:rPr>
        <w:t xml:space="preserve"> Hope Center for College, Community, and Justice at Temple University, and </w:t>
      </w:r>
      <w:r w:rsidRPr="00727D43">
        <w:rPr>
          <w:rFonts w:ascii="Avenir Next" w:hAnsi="Avenir Next" w:cstheme="minorHAnsi"/>
          <w:color w:val="000000" w:themeColor="text1"/>
          <w:sz w:val="22"/>
          <w:szCs w:val="22"/>
          <w:shd w:val="clear" w:color="auto" w:fill="FFFFFF"/>
        </w:rPr>
        <w:t>the Center for Education and Workforce at Georgetown University.</w:t>
      </w:r>
    </w:p>
    <w:p w14:paraId="3DF91A0D" w14:textId="133FBE07" w:rsidR="00EB52C5" w:rsidRPr="00727D43" w:rsidRDefault="00EB52C5" w:rsidP="00EB52C5">
      <w:pPr>
        <w:pStyle w:val="ListParagraph"/>
        <w:numPr>
          <w:ilvl w:val="0"/>
          <w:numId w:val="9"/>
        </w:numPr>
        <w:rPr>
          <w:rFonts w:ascii="Avenir Next" w:hAnsi="Avenir Next" w:cstheme="minorHAnsi"/>
          <w:color w:val="000000" w:themeColor="text1"/>
          <w:sz w:val="22"/>
          <w:szCs w:val="22"/>
          <w:shd w:val="clear" w:color="auto" w:fill="FFFFFF"/>
        </w:rPr>
      </w:pPr>
      <w:r w:rsidRPr="00727D43">
        <w:rPr>
          <w:rFonts w:ascii="Avenir Next" w:hAnsi="Avenir Next" w:cstheme="minorHAnsi"/>
          <w:color w:val="000000" w:themeColor="text1"/>
          <w:sz w:val="22"/>
          <w:szCs w:val="22"/>
          <w:shd w:val="clear" w:color="auto" w:fill="FFFFFF"/>
        </w:rPr>
        <w:t>Panels of employers who discussed their changing workforce needs and expectations of new employees coming out of community college credential programs.</w:t>
      </w:r>
    </w:p>
    <w:p w14:paraId="1869490E" w14:textId="77777777" w:rsidR="00EB52C5" w:rsidRPr="00727D43" w:rsidRDefault="00EB52C5" w:rsidP="00EB52C5">
      <w:pPr>
        <w:pStyle w:val="ListParagraph"/>
        <w:numPr>
          <w:ilvl w:val="0"/>
          <w:numId w:val="9"/>
        </w:numPr>
        <w:rPr>
          <w:rFonts w:ascii="Avenir Next" w:hAnsi="Avenir Next" w:cstheme="minorHAnsi"/>
          <w:color w:val="000000" w:themeColor="text1"/>
          <w:sz w:val="22"/>
          <w:szCs w:val="22"/>
          <w:shd w:val="clear" w:color="auto" w:fill="FFFFFF"/>
        </w:rPr>
      </w:pPr>
      <w:r w:rsidRPr="00727D43">
        <w:rPr>
          <w:rFonts w:ascii="Avenir Next" w:hAnsi="Avenir Next" w:cstheme="minorHAnsi"/>
          <w:color w:val="000000" w:themeColor="text1"/>
          <w:sz w:val="22"/>
          <w:szCs w:val="22"/>
          <w:shd w:val="clear" w:color="auto" w:fill="FFFFFF"/>
        </w:rPr>
        <w:t>A panel of students from diverse backgrounds and regions, including adult learners, who shared their experiences and discussed the needs of students from the classroom to the workforce.</w:t>
      </w:r>
    </w:p>
    <w:p w14:paraId="1A2459E2" w14:textId="77777777" w:rsidR="00EB52C5" w:rsidRPr="00727D43" w:rsidRDefault="00EB52C5" w:rsidP="00EB52C5">
      <w:pPr>
        <w:rPr>
          <w:rFonts w:ascii="Avenir Next" w:hAnsi="Avenir Next" w:cstheme="minorHAnsi"/>
          <w:color w:val="000000" w:themeColor="text1"/>
          <w:sz w:val="22"/>
          <w:szCs w:val="22"/>
          <w:shd w:val="clear" w:color="auto" w:fill="FFFFFF"/>
        </w:rPr>
      </w:pPr>
    </w:p>
    <w:p w14:paraId="7F98E4A0" w14:textId="0C9B5ABA" w:rsidR="00EB52C5" w:rsidRPr="00727D43" w:rsidRDefault="00EB52C5" w:rsidP="00EB52C5">
      <w:pPr>
        <w:rPr>
          <w:rFonts w:ascii="Avenir Next" w:hAnsi="Avenir Next" w:cstheme="minorHAnsi"/>
          <w:color w:val="000000" w:themeColor="text1"/>
          <w:sz w:val="22"/>
          <w:szCs w:val="22"/>
          <w:shd w:val="clear" w:color="auto" w:fill="FFFFFF"/>
        </w:rPr>
      </w:pPr>
      <w:r w:rsidRPr="00727D43">
        <w:rPr>
          <w:rFonts w:ascii="Avenir Next" w:hAnsi="Avenir Next" w:cstheme="minorHAnsi"/>
          <w:color w:val="000000" w:themeColor="text1"/>
          <w:sz w:val="22"/>
          <w:szCs w:val="22"/>
          <w:shd w:val="clear" w:color="auto" w:fill="FFFFFF"/>
        </w:rPr>
        <w:t xml:space="preserve">Throughout the process, </w:t>
      </w:r>
      <w:r w:rsidR="0071644E">
        <w:rPr>
          <w:rFonts w:ascii="Avenir Next" w:hAnsi="Avenir Next" w:cstheme="minorHAnsi"/>
          <w:color w:val="000000" w:themeColor="text1"/>
          <w:sz w:val="22"/>
          <w:szCs w:val="22"/>
          <w:shd w:val="clear" w:color="auto" w:fill="FFFFFF"/>
        </w:rPr>
        <w:t>the Commission</w:t>
      </w:r>
      <w:r w:rsidR="0071644E" w:rsidRPr="00727D43">
        <w:rPr>
          <w:rFonts w:ascii="Avenir Next" w:hAnsi="Avenir Next" w:cstheme="minorHAnsi"/>
          <w:color w:val="000000" w:themeColor="text1"/>
          <w:sz w:val="22"/>
          <w:szCs w:val="22"/>
          <w:shd w:val="clear" w:color="auto" w:fill="FFFFFF"/>
        </w:rPr>
        <w:t xml:space="preserve"> </w:t>
      </w:r>
      <w:r w:rsidRPr="00727D43">
        <w:rPr>
          <w:rFonts w:ascii="Avenir Next" w:hAnsi="Avenir Next" w:cstheme="minorHAnsi"/>
          <w:color w:val="000000" w:themeColor="text1"/>
          <w:sz w:val="22"/>
          <w:szCs w:val="22"/>
          <w:shd w:val="clear" w:color="auto" w:fill="FFFFFF"/>
        </w:rPr>
        <w:t xml:space="preserve">received support from Coordinating Board staff and ongoing, consultative guidance from TACC leadership. It also worked closely with national organizations with expertise in higher education’s potential to reduce disparities and create student opportunities. These included HCM Strategies and the National Center for Higher Education Management Systems. </w:t>
      </w:r>
    </w:p>
    <w:p w14:paraId="2787D0CD" w14:textId="77777777" w:rsidR="00EB52C5" w:rsidRPr="00727D43" w:rsidRDefault="00EB52C5" w:rsidP="00EB52C5">
      <w:pPr>
        <w:rPr>
          <w:rFonts w:ascii="Avenir Next" w:hAnsi="Avenir Next" w:cstheme="minorHAnsi"/>
          <w:color w:val="000000" w:themeColor="text1"/>
          <w:sz w:val="22"/>
          <w:szCs w:val="22"/>
          <w:shd w:val="clear" w:color="auto" w:fill="FFFFFF"/>
        </w:rPr>
      </w:pPr>
    </w:p>
    <w:p w14:paraId="206219EC" w14:textId="68D696EB" w:rsidR="00EB52C5" w:rsidRPr="00727D43" w:rsidRDefault="00EB52C5" w:rsidP="00EB52C5">
      <w:pPr>
        <w:rPr>
          <w:rFonts w:ascii="Avenir Next" w:hAnsi="Avenir Next" w:cstheme="minorHAnsi"/>
          <w:color w:val="000000" w:themeColor="text1"/>
          <w:sz w:val="22"/>
          <w:szCs w:val="22"/>
        </w:rPr>
      </w:pPr>
      <w:r w:rsidRPr="00727D43">
        <w:rPr>
          <w:rFonts w:ascii="Avenir Next" w:hAnsi="Avenir Next" w:cstheme="minorHAnsi"/>
          <w:color w:val="000000" w:themeColor="text1"/>
          <w:sz w:val="22"/>
          <w:szCs w:val="22"/>
        </w:rPr>
        <w:t xml:space="preserve">Importantly, </w:t>
      </w:r>
      <w:r w:rsidR="0071644E">
        <w:rPr>
          <w:rFonts w:ascii="Avenir Next" w:hAnsi="Avenir Next" w:cstheme="minorHAnsi"/>
          <w:color w:val="000000" w:themeColor="text1"/>
          <w:sz w:val="22"/>
          <w:szCs w:val="22"/>
        </w:rPr>
        <w:t xml:space="preserve">the Commission </w:t>
      </w:r>
      <w:r w:rsidRPr="00727D43">
        <w:rPr>
          <w:rFonts w:ascii="Avenir Next" w:hAnsi="Avenir Next" w:cstheme="minorHAnsi"/>
          <w:color w:val="000000" w:themeColor="text1"/>
          <w:sz w:val="22"/>
          <w:szCs w:val="22"/>
        </w:rPr>
        <w:t xml:space="preserve">was guided by research </w:t>
      </w:r>
      <w:r w:rsidR="00727D43">
        <w:rPr>
          <w:rFonts w:ascii="Avenir Next" w:hAnsi="Avenir Next" w:cstheme="minorHAnsi"/>
          <w:color w:val="000000" w:themeColor="text1"/>
          <w:sz w:val="22"/>
          <w:szCs w:val="22"/>
        </w:rPr>
        <w:t>from</w:t>
      </w:r>
      <w:r w:rsidRPr="00727D43">
        <w:rPr>
          <w:rFonts w:ascii="Avenir Next" w:hAnsi="Avenir Next" w:cstheme="minorHAnsi"/>
          <w:color w:val="000000" w:themeColor="text1"/>
          <w:sz w:val="22"/>
          <w:szCs w:val="22"/>
        </w:rPr>
        <w:t xml:space="preserve"> Dr. Lori Taylor from the Bush School of Government and Public Service at Texas A&amp;M University. </w:t>
      </w:r>
    </w:p>
    <w:p w14:paraId="6E893737" w14:textId="77777777" w:rsidR="00EB52C5" w:rsidRPr="00727D43" w:rsidRDefault="00EB52C5" w:rsidP="00EB52C5">
      <w:pPr>
        <w:rPr>
          <w:rFonts w:ascii="Avenir Next" w:hAnsi="Avenir Next" w:cstheme="minorHAnsi"/>
          <w:color w:val="000000" w:themeColor="text1"/>
          <w:sz w:val="22"/>
          <w:szCs w:val="22"/>
        </w:rPr>
      </w:pPr>
    </w:p>
    <w:p w14:paraId="211839EF" w14:textId="61F27A7E" w:rsidR="00EB52C5" w:rsidRPr="00727D43" w:rsidRDefault="00EB52C5" w:rsidP="00EB52C5">
      <w:pPr>
        <w:rPr>
          <w:rFonts w:ascii="Avenir Next" w:hAnsi="Avenir Next" w:cstheme="minorHAnsi"/>
          <w:color w:val="000000" w:themeColor="text1"/>
          <w:sz w:val="22"/>
          <w:szCs w:val="22"/>
        </w:rPr>
      </w:pPr>
      <w:r w:rsidRPr="00727D43">
        <w:rPr>
          <w:rFonts w:ascii="Avenir Next" w:hAnsi="Avenir Next" w:cstheme="minorHAnsi"/>
          <w:color w:val="000000" w:themeColor="text1"/>
          <w:sz w:val="22"/>
          <w:szCs w:val="22"/>
        </w:rPr>
        <w:t xml:space="preserve">Dr. Taylor led the Community College Finance Research Project, a data-driven, evidence-based analysis that ran alongside </w:t>
      </w:r>
      <w:r w:rsidR="0071644E">
        <w:rPr>
          <w:rFonts w:ascii="Avenir Next" w:hAnsi="Avenir Next" w:cstheme="minorHAnsi"/>
          <w:color w:val="000000" w:themeColor="text1"/>
          <w:sz w:val="22"/>
          <w:szCs w:val="22"/>
        </w:rPr>
        <w:t>the Commission</w:t>
      </w:r>
      <w:r w:rsidRPr="00727D43">
        <w:rPr>
          <w:rFonts w:ascii="Avenir Next" w:hAnsi="Avenir Next" w:cstheme="minorHAnsi"/>
          <w:color w:val="000000" w:themeColor="text1"/>
          <w:sz w:val="22"/>
          <w:szCs w:val="22"/>
        </w:rPr>
        <w:t>‘s work. The research was intended to help commission members better understand the differences in costs to educate student populations with specific characteristics; how economies of scale play into institutional fiscal needs; and the factors that explain variations in the cost of educating different students.</w:t>
      </w:r>
    </w:p>
    <w:p w14:paraId="39735087" w14:textId="77777777" w:rsidR="00EB52C5" w:rsidRPr="00727D43" w:rsidRDefault="00EB52C5" w:rsidP="00EB52C5">
      <w:pPr>
        <w:rPr>
          <w:rFonts w:ascii="Avenir Next" w:hAnsi="Avenir Next" w:cstheme="minorHAnsi"/>
          <w:color w:val="000000" w:themeColor="text1"/>
          <w:sz w:val="22"/>
          <w:szCs w:val="22"/>
          <w:shd w:val="clear" w:color="auto" w:fill="FFFFFF"/>
        </w:rPr>
      </w:pPr>
    </w:p>
    <w:p w14:paraId="17E5288E" w14:textId="21955E34" w:rsidR="00EB52C5" w:rsidRPr="00996DDA" w:rsidRDefault="00EB52C5" w:rsidP="00EB52C5">
      <w:pPr>
        <w:rPr>
          <w:rFonts w:ascii="Avenir Next" w:hAnsi="Avenir Next" w:cstheme="minorHAnsi"/>
          <w:color w:val="000000" w:themeColor="text1"/>
          <w:sz w:val="22"/>
          <w:szCs w:val="22"/>
          <w:shd w:val="clear" w:color="auto" w:fill="FFFFFF"/>
        </w:rPr>
      </w:pPr>
      <w:r w:rsidRPr="00996DDA">
        <w:rPr>
          <w:rFonts w:ascii="Avenir Next" w:hAnsi="Avenir Next" w:cstheme="minorHAnsi"/>
          <w:color w:val="000000" w:themeColor="text1"/>
          <w:sz w:val="22"/>
          <w:szCs w:val="22"/>
          <w:shd w:val="clear" w:color="auto" w:fill="FFFFFF"/>
        </w:rPr>
        <w:t xml:space="preserve">In the summer of 2022, </w:t>
      </w:r>
      <w:r w:rsidR="0071644E">
        <w:rPr>
          <w:rFonts w:ascii="Avenir Next" w:hAnsi="Avenir Next" w:cstheme="minorHAnsi"/>
          <w:color w:val="000000" w:themeColor="text1"/>
          <w:sz w:val="22"/>
          <w:szCs w:val="22"/>
          <w:shd w:val="clear" w:color="auto" w:fill="FFFFFF"/>
        </w:rPr>
        <w:t>the Commission</w:t>
      </w:r>
      <w:r w:rsidR="00727D43">
        <w:rPr>
          <w:rFonts w:ascii="Avenir Next" w:hAnsi="Avenir Next" w:cstheme="minorHAnsi"/>
          <w:color w:val="000000" w:themeColor="text1"/>
          <w:sz w:val="22"/>
          <w:szCs w:val="22"/>
          <w:shd w:val="clear" w:color="auto" w:fill="FFFFFF"/>
        </w:rPr>
        <w:t xml:space="preserve">, with support from </w:t>
      </w:r>
      <w:r w:rsidR="0071644E">
        <w:rPr>
          <w:rFonts w:ascii="Avenir Next" w:hAnsi="Avenir Next" w:cstheme="minorHAnsi"/>
          <w:color w:val="000000" w:themeColor="text1"/>
          <w:sz w:val="22"/>
          <w:szCs w:val="22"/>
          <w:shd w:val="clear" w:color="auto" w:fill="FFFFFF"/>
        </w:rPr>
        <w:t xml:space="preserve">Educate Texas and </w:t>
      </w:r>
      <w:r w:rsidR="00727D43">
        <w:rPr>
          <w:rFonts w:ascii="Avenir Next" w:hAnsi="Avenir Next" w:cstheme="minorHAnsi"/>
          <w:color w:val="000000" w:themeColor="text1"/>
          <w:sz w:val="22"/>
          <w:szCs w:val="22"/>
          <w:shd w:val="clear" w:color="auto" w:fill="FFFFFF"/>
        </w:rPr>
        <w:t>the Bill and Melinda Gates Foundation,</w:t>
      </w:r>
      <w:r w:rsidRPr="00996DDA">
        <w:rPr>
          <w:rFonts w:ascii="Avenir Next" w:hAnsi="Avenir Next" w:cstheme="minorHAnsi"/>
          <w:color w:val="000000" w:themeColor="text1"/>
          <w:sz w:val="22"/>
          <w:szCs w:val="22"/>
          <w:shd w:val="clear" w:color="auto" w:fill="FFFFFF"/>
        </w:rPr>
        <w:t xml:space="preserve"> engaged third parties to survey 5,000 Texans’ attitudes toward and expectations of community colleges. </w:t>
      </w:r>
      <w:r w:rsidR="00E44C35">
        <w:rPr>
          <w:rFonts w:ascii="Avenir Next" w:hAnsi="Avenir Next" w:cstheme="minorHAnsi"/>
          <w:color w:val="000000" w:themeColor="text1"/>
          <w:sz w:val="22"/>
          <w:szCs w:val="22"/>
          <w:shd w:val="clear" w:color="auto" w:fill="FFFFFF"/>
        </w:rPr>
        <w:t>T</w:t>
      </w:r>
      <w:r w:rsidRPr="00996DDA">
        <w:rPr>
          <w:rFonts w:ascii="Avenir Next" w:hAnsi="Avenir Next" w:cstheme="minorHAnsi"/>
          <w:color w:val="000000" w:themeColor="text1"/>
          <w:sz w:val="22"/>
          <w:szCs w:val="22"/>
          <w:shd w:val="clear" w:color="auto" w:fill="FFFFFF"/>
        </w:rPr>
        <w:t xml:space="preserve">he organization Jobs For the Future </w:t>
      </w:r>
      <w:r w:rsidR="00E44C35">
        <w:rPr>
          <w:rFonts w:ascii="Avenir Next" w:hAnsi="Avenir Next" w:cstheme="minorHAnsi"/>
          <w:color w:val="000000" w:themeColor="text1"/>
          <w:sz w:val="22"/>
          <w:szCs w:val="22"/>
          <w:shd w:val="clear" w:color="auto" w:fill="FFFFFF"/>
        </w:rPr>
        <w:t xml:space="preserve">also worked with Coordinating Board staff to </w:t>
      </w:r>
      <w:r w:rsidRPr="00996DDA">
        <w:rPr>
          <w:rFonts w:ascii="Avenir Next" w:hAnsi="Avenir Next" w:cstheme="minorHAnsi"/>
          <w:color w:val="000000" w:themeColor="text1"/>
          <w:sz w:val="22"/>
          <w:szCs w:val="22"/>
          <w:shd w:val="clear" w:color="auto" w:fill="FFFFFF"/>
        </w:rPr>
        <w:t xml:space="preserve">conduct five listening sessions </w:t>
      </w:r>
      <w:r w:rsidR="000E0F1A">
        <w:rPr>
          <w:rFonts w:ascii="Avenir Next" w:hAnsi="Avenir Next" w:cstheme="minorHAnsi"/>
          <w:color w:val="000000" w:themeColor="text1"/>
          <w:sz w:val="22"/>
          <w:szCs w:val="22"/>
          <w:shd w:val="clear" w:color="auto" w:fill="FFFFFF"/>
        </w:rPr>
        <w:t>with</w:t>
      </w:r>
      <w:r w:rsidRPr="00996DDA">
        <w:rPr>
          <w:rFonts w:ascii="Avenir Next" w:hAnsi="Avenir Next" w:cstheme="minorHAnsi"/>
          <w:color w:val="000000" w:themeColor="text1"/>
          <w:sz w:val="22"/>
          <w:szCs w:val="22"/>
          <w:shd w:val="clear" w:color="auto" w:fill="FFFFFF"/>
        </w:rPr>
        <w:t xml:space="preserve"> 45 community college leaders across the state to gauge their needs and expectations for a new funding model, following up with in-depth interviews with </w:t>
      </w:r>
      <w:r w:rsidR="00412ECC">
        <w:rPr>
          <w:rFonts w:ascii="Avenir Next" w:hAnsi="Avenir Next" w:cstheme="minorHAnsi"/>
          <w:color w:val="000000" w:themeColor="text1"/>
          <w:sz w:val="22"/>
          <w:szCs w:val="22"/>
          <w:shd w:val="clear" w:color="auto" w:fill="FFFFFF"/>
        </w:rPr>
        <w:t>ten</w:t>
      </w:r>
      <w:r w:rsidRPr="00996DDA">
        <w:rPr>
          <w:rFonts w:ascii="Avenir Next" w:hAnsi="Avenir Next" w:cstheme="minorHAnsi"/>
          <w:color w:val="000000" w:themeColor="text1"/>
          <w:sz w:val="22"/>
          <w:szCs w:val="22"/>
          <w:shd w:val="clear" w:color="auto" w:fill="FFFFFF"/>
        </w:rPr>
        <w:t xml:space="preserve"> leaders. </w:t>
      </w:r>
    </w:p>
    <w:p w14:paraId="4D519D70" w14:textId="77777777" w:rsidR="00EB52C5" w:rsidRPr="00996DDA" w:rsidRDefault="00EB52C5" w:rsidP="00EB52C5">
      <w:pPr>
        <w:rPr>
          <w:rFonts w:ascii="Avenir Next" w:hAnsi="Avenir Next" w:cstheme="minorHAnsi"/>
          <w:color w:val="000000" w:themeColor="text1"/>
          <w:sz w:val="22"/>
          <w:szCs w:val="22"/>
          <w:shd w:val="clear" w:color="auto" w:fill="FFFFFF"/>
        </w:rPr>
      </w:pPr>
    </w:p>
    <w:p w14:paraId="4F11A0F6" w14:textId="6C270EEB" w:rsidR="00EB52C5" w:rsidRPr="00996DDA" w:rsidRDefault="00EB52C5" w:rsidP="00EB52C5">
      <w:pPr>
        <w:rPr>
          <w:rFonts w:ascii="Avenir Next" w:hAnsi="Avenir Next"/>
          <w:color w:val="000000" w:themeColor="text1"/>
          <w:sz w:val="22"/>
          <w:szCs w:val="22"/>
        </w:rPr>
      </w:pPr>
      <w:r w:rsidRPr="00996DDA">
        <w:rPr>
          <w:rFonts w:ascii="Avenir Next" w:hAnsi="Avenir Next" w:cstheme="minorHAnsi"/>
          <w:color w:val="000000" w:themeColor="text1"/>
          <w:sz w:val="22"/>
          <w:szCs w:val="22"/>
          <w:shd w:val="clear" w:color="auto" w:fill="FFFFFF"/>
        </w:rPr>
        <w:t xml:space="preserve">Based on this research, data analysis, and feedback from stakeholders, </w:t>
      </w:r>
      <w:r w:rsidR="0071644E">
        <w:rPr>
          <w:rFonts w:ascii="Avenir Next" w:hAnsi="Avenir Next" w:cstheme="minorHAnsi"/>
          <w:color w:val="000000" w:themeColor="text1"/>
          <w:sz w:val="22"/>
          <w:szCs w:val="22"/>
          <w:shd w:val="clear" w:color="auto" w:fill="FFFFFF"/>
        </w:rPr>
        <w:t>the Commission</w:t>
      </w:r>
      <w:r w:rsidR="0071644E" w:rsidRPr="00996DDA">
        <w:rPr>
          <w:rFonts w:ascii="Avenir Next" w:hAnsi="Avenir Next" w:cstheme="minorHAnsi"/>
          <w:color w:val="000000" w:themeColor="text1"/>
          <w:sz w:val="22"/>
          <w:szCs w:val="22"/>
          <w:shd w:val="clear" w:color="auto" w:fill="FFFFFF"/>
        </w:rPr>
        <w:t xml:space="preserve"> </w:t>
      </w:r>
      <w:r w:rsidRPr="00996DDA">
        <w:rPr>
          <w:rFonts w:ascii="Avenir Next" w:hAnsi="Avenir Next" w:cstheme="minorHAnsi"/>
          <w:color w:val="000000" w:themeColor="text1"/>
          <w:sz w:val="22"/>
          <w:szCs w:val="22"/>
          <w:shd w:val="clear" w:color="auto" w:fill="FFFFFF"/>
        </w:rPr>
        <w:t xml:space="preserve">developed a series of recommendations during the summer that were posted publicly, discussed by commission members, and </w:t>
      </w:r>
      <w:r w:rsidR="00412ECC">
        <w:rPr>
          <w:rFonts w:ascii="Avenir Next" w:hAnsi="Avenir Next" w:cstheme="minorHAnsi"/>
          <w:color w:val="000000" w:themeColor="text1"/>
          <w:sz w:val="22"/>
          <w:szCs w:val="22"/>
          <w:shd w:val="clear" w:color="auto" w:fill="FFFFFF"/>
        </w:rPr>
        <w:t>opened</w:t>
      </w:r>
      <w:r w:rsidRPr="00996DDA">
        <w:rPr>
          <w:rFonts w:ascii="Avenir Next" w:hAnsi="Avenir Next" w:cstheme="minorHAnsi"/>
          <w:color w:val="000000" w:themeColor="text1"/>
          <w:sz w:val="22"/>
          <w:szCs w:val="22"/>
          <w:shd w:val="clear" w:color="auto" w:fill="FFFFFF"/>
        </w:rPr>
        <w:t xml:space="preserve"> to public testimony in September</w:t>
      </w:r>
      <w:r w:rsidR="00E44C35">
        <w:rPr>
          <w:rFonts w:ascii="Avenir Next" w:hAnsi="Avenir Next" w:cstheme="minorHAnsi"/>
          <w:color w:val="000000" w:themeColor="text1"/>
          <w:sz w:val="22"/>
          <w:szCs w:val="22"/>
          <w:shd w:val="clear" w:color="auto" w:fill="FFFFFF"/>
        </w:rPr>
        <w:t xml:space="preserve"> 2022</w:t>
      </w:r>
      <w:r w:rsidRPr="00996DDA">
        <w:rPr>
          <w:rFonts w:ascii="Avenir Next" w:hAnsi="Avenir Next" w:cstheme="minorHAnsi"/>
          <w:color w:val="000000" w:themeColor="text1"/>
          <w:sz w:val="22"/>
          <w:szCs w:val="22"/>
          <w:shd w:val="clear" w:color="auto" w:fill="FFFFFF"/>
        </w:rPr>
        <w:t xml:space="preserve">. The recommendations were divided into the three categories featured in this report — </w:t>
      </w:r>
      <w:r w:rsidRPr="00996DDA">
        <w:rPr>
          <w:rFonts w:ascii="Avenir Next" w:hAnsi="Avenir Next"/>
          <w:color w:val="000000" w:themeColor="text1"/>
          <w:sz w:val="22"/>
          <w:szCs w:val="22"/>
        </w:rPr>
        <w:t>state funding for outcomes, student affordability, and targeted investments in college capacity.</w:t>
      </w:r>
    </w:p>
    <w:p w14:paraId="7258DDF2" w14:textId="77777777" w:rsidR="00EB52C5" w:rsidRPr="00996DDA" w:rsidRDefault="00EB52C5" w:rsidP="00EB52C5">
      <w:pPr>
        <w:rPr>
          <w:rFonts w:ascii="Avenir Next" w:hAnsi="Avenir Next" w:cstheme="minorHAnsi"/>
          <w:color w:val="000000" w:themeColor="text1"/>
          <w:sz w:val="22"/>
          <w:szCs w:val="22"/>
          <w:shd w:val="clear" w:color="auto" w:fill="FFFFFF"/>
        </w:rPr>
      </w:pPr>
    </w:p>
    <w:p w14:paraId="56479249" w14:textId="40E94334" w:rsidR="00EB52C5" w:rsidRPr="00727D43" w:rsidRDefault="0071644E" w:rsidP="00EB52C5">
      <w:pPr>
        <w:rPr>
          <w:rFonts w:ascii="Avenir Next" w:hAnsi="Avenir Next" w:cstheme="minorHAnsi"/>
          <w:color w:val="000000" w:themeColor="text1"/>
          <w:sz w:val="22"/>
          <w:szCs w:val="22"/>
          <w:shd w:val="clear" w:color="auto" w:fill="FFFFFF"/>
        </w:rPr>
      </w:pPr>
      <w:r>
        <w:rPr>
          <w:rFonts w:ascii="Avenir Next" w:hAnsi="Avenir Next" w:cstheme="minorHAnsi"/>
          <w:color w:val="000000" w:themeColor="text1"/>
          <w:sz w:val="22"/>
          <w:szCs w:val="22"/>
          <w:shd w:val="clear" w:color="auto" w:fill="FFFFFF"/>
        </w:rPr>
        <w:t>The Commission</w:t>
      </w:r>
      <w:r w:rsidRPr="00996DDA">
        <w:rPr>
          <w:rFonts w:ascii="Avenir Next" w:hAnsi="Avenir Next" w:cstheme="minorHAnsi"/>
          <w:color w:val="000000" w:themeColor="text1"/>
          <w:sz w:val="22"/>
          <w:szCs w:val="22"/>
          <w:shd w:val="clear" w:color="auto" w:fill="FFFFFF"/>
        </w:rPr>
        <w:t xml:space="preserve"> </w:t>
      </w:r>
      <w:r w:rsidR="00EB52C5" w:rsidRPr="00996DDA">
        <w:rPr>
          <w:rFonts w:ascii="Avenir Next" w:hAnsi="Avenir Next" w:cstheme="minorHAnsi"/>
          <w:color w:val="000000" w:themeColor="text1"/>
          <w:sz w:val="22"/>
          <w:szCs w:val="22"/>
          <w:shd w:val="clear" w:color="auto" w:fill="FFFFFF"/>
        </w:rPr>
        <w:t xml:space="preserve">approved its final recommendations in October 2022 to submit to the Texas Legislature </w:t>
      </w:r>
      <w:r w:rsidR="00E44C35">
        <w:rPr>
          <w:rFonts w:ascii="Avenir Next" w:hAnsi="Avenir Next" w:cstheme="minorHAnsi"/>
          <w:color w:val="000000" w:themeColor="text1"/>
          <w:sz w:val="22"/>
          <w:szCs w:val="22"/>
          <w:shd w:val="clear" w:color="auto" w:fill="FFFFFF"/>
        </w:rPr>
        <w:t>by</w:t>
      </w:r>
      <w:r w:rsidR="00E44C35" w:rsidRPr="00996DDA">
        <w:rPr>
          <w:rFonts w:ascii="Avenir Next" w:hAnsi="Avenir Next" w:cstheme="minorHAnsi"/>
          <w:color w:val="000000" w:themeColor="text1"/>
          <w:sz w:val="22"/>
          <w:szCs w:val="22"/>
          <w:shd w:val="clear" w:color="auto" w:fill="FFFFFF"/>
        </w:rPr>
        <w:t xml:space="preserve"> </w:t>
      </w:r>
      <w:r w:rsidR="00EB52C5" w:rsidRPr="00996DDA">
        <w:rPr>
          <w:rFonts w:ascii="Avenir Next" w:hAnsi="Avenir Next" w:cstheme="minorHAnsi"/>
          <w:color w:val="000000" w:themeColor="text1"/>
          <w:sz w:val="22"/>
          <w:szCs w:val="22"/>
          <w:shd w:val="clear" w:color="auto" w:fill="FFFFFF"/>
        </w:rPr>
        <w:t>November 1, 2022, as required by Senate Bill 1230.</w:t>
      </w:r>
    </w:p>
    <w:p w14:paraId="12C3E0A6" w14:textId="77777777" w:rsidR="00EB52C5" w:rsidRPr="00727D43" w:rsidRDefault="00EB52C5" w:rsidP="00EB52C5">
      <w:pPr>
        <w:rPr>
          <w:rFonts w:ascii="Avenir Next" w:hAnsi="Avenir Next" w:cstheme="minorHAnsi"/>
          <w:color w:val="000000" w:themeColor="text1"/>
          <w:sz w:val="22"/>
          <w:szCs w:val="22"/>
        </w:rPr>
      </w:pPr>
      <w:r w:rsidRPr="00727D43">
        <w:rPr>
          <w:rFonts w:ascii="Avenir Next" w:hAnsi="Avenir Next" w:cstheme="minorHAnsi"/>
          <w:color w:val="000000" w:themeColor="text1"/>
          <w:sz w:val="22"/>
          <w:szCs w:val="22"/>
          <w:shd w:val="clear" w:color="auto" w:fill="FFFFFF"/>
        </w:rPr>
        <w:t xml:space="preserve"> </w:t>
      </w:r>
    </w:p>
    <w:p w14:paraId="4A841C6D" w14:textId="77777777" w:rsidR="00EB52C5" w:rsidRPr="00727D43" w:rsidRDefault="00EB52C5" w:rsidP="00EB52C5">
      <w:pPr>
        <w:pStyle w:val="NormalWeb"/>
        <w:rPr>
          <w:rFonts w:ascii="Avenir Next" w:hAnsi="Avenir Next"/>
          <w:color w:val="000000" w:themeColor="text1"/>
          <w:sz w:val="22"/>
          <w:szCs w:val="22"/>
        </w:rPr>
      </w:pPr>
    </w:p>
    <w:p w14:paraId="654D9847" w14:textId="77777777" w:rsidR="008E61E5" w:rsidRPr="00727D43" w:rsidRDefault="008E61E5" w:rsidP="00EB52C5">
      <w:pPr>
        <w:rPr>
          <w:rFonts w:ascii="Avenir Next" w:eastAsia="Times New Roman" w:hAnsi="Avenir Next" w:cstheme="minorHAnsi"/>
          <w:color w:val="000000" w:themeColor="text1"/>
          <w:sz w:val="22"/>
          <w:szCs w:val="22"/>
        </w:rPr>
      </w:pPr>
    </w:p>
    <w:p w14:paraId="6CD7BF85" w14:textId="77777777" w:rsidR="008E61E5" w:rsidRPr="00727D43" w:rsidRDefault="008E61E5" w:rsidP="00EB52C5">
      <w:pPr>
        <w:rPr>
          <w:rFonts w:ascii="Avenir Next" w:eastAsia="Times New Roman" w:hAnsi="Avenir Next" w:cstheme="minorHAnsi"/>
          <w:color w:val="000000" w:themeColor="text1"/>
          <w:sz w:val="22"/>
          <w:szCs w:val="22"/>
        </w:rPr>
      </w:pPr>
    </w:p>
    <w:p w14:paraId="6C2366E6" w14:textId="77777777" w:rsidR="00665286" w:rsidRPr="00727D43" w:rsidRDefault="00665286" w:rsidP="00EB52C5">
      <w:pPr>
        <w:rPr>
          <w:rFonts w:ascii="Avenir Next" w:hAnsi="Avenir Next"/>
          <w:strike/>
          <w:color w:val="000000" w:themeColor="text1"/>
          <w:sz w:val="22"/>
          <w:szCs w:val="22"/>
        </w:rPr>
      </w:pPr>
    </w:p>
    <w:sectPr w:rsidR="00665286" w:rsidRPr="00727D43" w:rsidSect="00727D4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Gary Susswein" w:date="2022-09-28T06:23:00Z" w:initials="GS">
    <w:p w14:paraId="296C6B25" w14:textId="400F4B8E" w:rsidR="002B6212" w:rsidRDefault="002B6212" w:rsidP="002B6212">
      <w:pPr>
        <w:pStyle w:val="CommentText"/>
      </w:pPr>
      <w:r>
        <w:rPr>
          <w:rStyle w:val="CommentReference"/>
        </w:rPr>
        <w:annotationRef/>
      </w:r>
      <w:r>
        <w:t>Pie chart showing breakdown of drivers for state contributions under the formula.</w:t>
      </w:r>
    </w:p>
  </w:comment>
  <w:comment w:id="9" w:author="Gary Susswein" w:date="2022-09-28T06:28:00Z" w:initials="GS">
    <w:p w14:paraId="10BCA013" w14:textId="3CF73728" w:rsidR="003D569E" w:rsidRDefault="003D569E" w:rsidP="003D569E">
      <w:pPr>
        <w:pStyle w:val="CommentText"/>
      </w:pPr>
      <w:r>
        <w:rPr>
          <w:rStyle w:val="CommentReference"/>
        </w:rPr>
        <w:annotationRef/>
      </w:r>
      <w:r w:rsidRPr="009A1235">
        <w:t>chart either showing growth in dual credit courses or %2525 of low-income versus non-low-income enrollees in  the courses.</w:t>
      </w:r>
    </w:p>
  </w:comment>
  <w:comment w:id="11" w:author="Peterson, Amy" w:date="2022-10-17T14:32:00Z" w:initials="PA">
    <w:p w14:paraId="766DFFBD" w14:textId="77777777" w:rsidR="0039495C" w:rsidRDefault="0039495C">
      <w:pPr>
        <w:pStyle w:val="CommentText"/>
      </w:pPr>
      <w:r>
        <w:rPr>
          <w:rStyle w:val="CommentReference"/>
        </w:rPr>
        <w:annotationRef/>
      </w:r>
      <w:r>
        <w:t>Insert enrollment chart</w:t>
      </w:r>
    </w:p>
  </w:comment>
  <w:comment w:id="14" w:author="Gary Susswein" w:date="2022-09-27T21:55:00Z" w:initials="GS">
    <w:p w14:paraId="0A708DA5" w14:textId="6DE532F4" w:rsidR="00E83482" w:rsidRDefault="00E83482">
      <w:pPr>
        <w:pStyle w:val="CommentText"/>
      </w:pPr>
      <w:r>
        <w:rPr>
          <w:rStyle w:val="CommentReference"/>
        </w:rPr>
        <w:annotationRef/>
      </w:r>
      <w:r>
        <w:t xml:space="preserve">This can be recrafted as a breakout box with </w:t>
      </w:r>
      <w:r w:rsidR="00CA0AA2">
        <w:t>Chairman</w:t>
      </w:r>
      <w:r>
        <w:t xml:space="preserve"> Hunt’s career and service highlight</w:t>
      </w:r>
      <w:r w:rsidR="00CA0AA2">
        <w:t>s shown in bullets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6C6B25" w15:done="0"/>
  <w15:commentEx w15:paraId="10BCA013" w15:done="0"/>
  <w15:commentEx w15:paraId="766DFFBD" w15:done="0"/>
  <w15:commentEx w15:paraId="0A708D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E5ACF3" w16cex:dateUtc="2022-09-28T11:23:00Z"/>
  <w16cex:commentExtensible w16cex:durableId="26F56B3D" w16cex:dateUtc="2022-09-28T11:28:00Z"/>
  <w16cex:commentExtensible w16cex:durableId="26F7E5E3" w16cex:dateUtc="2022-10-17T19:32:00Z"/>
  <w16cex:commentExtensible w16cex:durableId="26DDEFD3" w16cex:dateUtc="2022-09-28T0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6C6B25" w16cid:durableId="26E5ACF3"/>
  <w16cid:commentId w16cid:paraId="10BCA013" w16cid:durableId="26F56B3D"/>
  <w16cid:commentId w16cid:paraId="766DFFBD" w16cid:durableId="26F7E5E3"/>
  <w16cid:commentId w16cid:paraId="0A708DA5" w16cid:durableId="26DDEF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EB68" w14:textId="77777777" w:rsidR="001D2849" w:rsidRDefault="001D2849" w:rsidP="00695DBB">
      <w:r>
        <w:separator/>
      </w:r>
    </w:p>
  </w:endnote>
  <w:endnote w:type="continuationSeparator" w:id="0">
    <w:p w14:paraId="18447D90" w14:textId="77777777" w:rsidR="001D2849" w:rsidRDefault="001D2849" w:rsidP="00695DBB">
      <w:r>
        <w:continuationSeparator/>
      </w:r>
    </w:p>
  </w:endnote>
  <w:endnote w:type="continuationNotice" w:id="1">
    <w:p w14:paraId="6F37DB8B" w14:textId="77777777" w:rsidR="001D2849" w:rsidRDefault="001D2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ppleSystemUIFont">
    <w:altName w:val="Calibri"/>
    <w:charset w:val="00"/>
    <w:family w:val="auto"/>
    <w:pitch w:val="default"/>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573E" w14:textId="2D1BEEA9" w:rsidR="00727D43" w:rsidRDefault="00727D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E4C6B6" w14:textId="77777777" w:rsidR="008D76C0" w:rsidRDefault="008D7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822067"/>
      <w:docPartObj>
        <w:docPartGallery w:val="Page Numbers (Bottom of Page)"/>
        <w:docPartUnique/>
      </w:docPartObj>
    </w:sdtPr>
    <w:sdtContent>
      <w:p w14:paraId="24F9A83E" w14:textId="28E2F156" w:rsidR="00727D43" w:rsidRDefault="00727D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47F7D60A" w14:textId="77777777" w:rsidR="008D76C0" w:rsidRDefault="008D7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37D0" w14:textId="77777777" w:rsidR="008D76C0" w:rsidRDefault="008D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1C3D" w14:textId="77777777" w:rsidR="001D2849" w:rsidRDefault="001D2849" w:rsidP="00695DBB">
      <w:r>
        <w:separator/>
      </w:r>
    </w:p>
  </w:footnote>
  <w:footnote w:type="continuationSeparator" w:id="0">
    <w:p w14:paraId="2362F59D" w14:textId="77777777" w:rsidR="001D2849" w:rsidRDefault="001D2849" w:rsidP="00695DBB">
      <w:r>
        <w:continuationSeparator/>
      </w:r>
    </w:p>
  </w:footnote>
  <w:footnote w:type="continuationNotice" w:id="1">
    <w:p w14:paraId="7DEB5A8E" w14:textId="77777777" w:rsidR="001D2849" w:rsidRDefault="001D2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04F3" w14:textId="60937804" w:rsidR="00695DBB" w:rsidRDefault="00695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B258" w14:textId="14700AD9" w:rsidR="00695DBB" w:rsidRDefault="00695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5BDC" w14:textId="02CF2A39" w:rsidR="00695DBB" w:rsidRDefault="00695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6458"/>
    <w:multiLevelType w:val="hybridMultilevel"/>
    <w:tmpl w:val="0EAE79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D82FB5"/>
    <w:multiLevelType w:val="hybridMultilevel"/>
    <w:tmpl w:val="A8E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9579D"/>
    <w:multiLevelType w:val="hybridMultilevel"/>
    <w:tmpl w:val="EB3CEE46"/>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8D2EB8"/>
    <w:multiLevelType w:val="hybridMultilevel"/>
    <w:tmpl w:val="1D8034A8"/>
    <w:lvl w:ilvl="0" w:tplc="F774D8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21CA6"/>
    <w:multiLevelType w:val="hybridMultilevel"/>
    <w:tmpl w:val="8D3CD6E2"/>
    <w:lvl w:ilvl="0" w:tplc="2F6A6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0766"/>
    <w:multiLevelType w:val="hybridMultilevel"/>
    <w:tmpl w:val="E712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B413F"/>
    <w:multiLevelType w:val="hybridMultilevel"/>
    <w:tmpl w:val="A0E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661C5"/>
    <w:multiLevelType w:val="hybridMultilevel"/>
    <w:tmpl w:val="4144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07FC2"/>
    <w:multiLevelType w:val="hybridMultilevel"/>
    <w:tmpl w:val="83549816"/>
    <w:lvl w:ilvl="0" w:tplc="F774D8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F6ABD"/>
    <w:multiLevelType w:val="hybridMultilevel"/>
    <w:tmpl w:val="4F58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A0B47"/>
    <w:multiLevelType w:val="hybridMultilevel"/>
    <w:tmpl w:val="23CA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86971"/>
    <w:multiLevelType w:val="hybridMultilevel"/>
    <w:tmpl w:val="A8A44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8545DE"/>
    <w:multiLevelType w:val="hybridMultilevel"/>
    <w:tmpl w:val="E956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288781">
    <w:abstractNumId w:val="8"/>
  </w:num>
  <w:num w:numId="2" w16cid:durableId="845823577">
    <w:abstractNumId w:val="2"/>
  </w:num>
  <w:num w:numId="3" w16cid:durableId="1039476282">
    <w:abstractNumId w:val="3"/>
  </w:num>
  <w:num w:numId="4" w16cid:durableId="1263340807">
    <w:abstractNumId w:val="0"/>
  </w:num>
  <w:num w:numId="5" w16cid:durableId="678702554">
    <w:abstractNumId w:val="6"/>
  </w:num>
  <w:num w:numId="6" w16cid:durableId="1087848503">
    <w:abstractNumId w:val="5"/>
  </w:num>
  <w:num w:numId="7" w16cid:durableId="1266305325">
    <w:abstractNumId w:val="12"/>
  </w:num>
  <w:num w:numId="8" w16cid:durableId="40523620">
    <w:abstractNumId w:val="1"/>
  </w:num>
  <w:num w:numId="9" w16cid:durableId="1758868536">
    <w:abstractNumId w:val="9"/>
  </w:num>
  <w:num w:numId="10" w16cid:durableId="206769060">
    <w:abstractNumId w:val="7"/>
  </w:num>
  <w:num w:numId="11" w16cid:durableId="1660381154">
    <w:abstractNumId w:val="4"/>
  </w:num>
  <w:num w:numId="12" w16cid:durableId="48383272">
    <w:abstractNumId w:val="11"/>
  </w:num>
  <w:num w:numId="13" w16cid:durableId="60404668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Susswein">
    <w15:presenceInfo w15:providerId="Windows Live" w15:userId="347c6be0307a6a46"/>
  </w15:person>
  <w15:person w15:author="Peterson, Amy">
    <w15:presenceInfo w15:providerId="AD" w15:userId="S::Amy.Peterson@highered.texas.gov::77463860-039b-4d1d-b056-a88c3dc76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32"/>
    <w:rsid w:val="00002C75"/>
    <w:rsid w:val="0001525C"/>
    <w:rsid w:val="00027DFC"/>
    <w:rsid w:val="00032627"/>
    <w:rsid w:val="00050257"/>
    <w:rsid w:val="00056543"/>
    <w:rsid w:val="00062F6C"/>
    <w:rsid w:val="00066F71"/>
    <w:rsid w:val="00074CE7"/>
    <w:rsid w:val="000811FC"/>
    <w:rsid w:val="00083D1D"/>
    <w:rsid w:val="000A3D55"/>
    <w:rsid w:val="000D0527"/>
    <w:rsid w:val="000D1F7F"/>
    <w:rsid w:val="000E0F1A"/>
    <w:rsid w:val="000F125B"/>
    <w:rsid w:val="000F2997"/>
    <w:rsid w:val="000F6B80"/>
    <w:rsid w:val="000F778D"/>
    <w:rsid w:val="00101590"/>
    <w:rsid w:val="00102007"/>
    <w:rsid w:val="00111474"/>
    <w:rsid w:val="00111FB3"/>
    <w:rsid w:val="001219A2"/>
    <w:rsid w:val="00124F5F"/>
    <w:rsid w:val="00137566"/>
    <w:rsid w:val="0014553A"/>
    <w:rsid w:val="001529BD"/>
    <w:rsid w:val="001574BD"/>
    <w:rsid w:val="00160944"/>
    <w:rsid w:val="00162B68"/>
    <w:rsid w:val="001654E1"/>
    <w:rsid w:val="00175E0E"/>
    <w:rsid w:val="00177E13"/>
    <w:rsid w:val="00181D9D"/>
    <w:rsid w:val="00186A85"/>
    <w:rsid w:val="001A3E3D"/>
    <w:rsid w:val="001C3C52"/>
    <w:rsid w:val="001C3CC0"/>
    <w:rsid w:val="001C668E"/>
    <w:rsid w:val="001D2849"/>
    <w:rsid w:val="001D7AE3"/>
    <w:rsid w:val="001E18F2"/>
    <w:rsid w:val="001F3400"/>
    <w:rsid w:val="001F459B"/>
    <w:rsid w:val="001F5A88"/>
    <w:rsid w:val="001F789C"/>
    <w:rsid w:val="002030C4"/>
    <w:rsid w:val="00211F04"/>
    <w:rsid w:val="00213464"/>
    <w:rsid w:val="00213C98"/>
    <w:rsid w:val="00214959"/>
    <w:rsid w:val="00217773"/>
    <w:rsid w:val="00241D76"/>
    <w:rsid w:val="00243365"/>
    <w:rsid w:val="002435EC"/>
    <w:rsid w:val="002507D1"/>
    <w:rsid w:val="002512C8"/>
    <w:rsid w:val="00251E32"/>
    <w:rsid w:val="002578E2"/>
    <w:rsid w:val="00260155"/>
    <w:rsid w:val="00260AA6"/>
    <w:rsid w:val="00275D0C"/>
    <w:rsid w:val="002770C1"/>
    <w:rsid w:val="00284C64"/>
    <w:rsid w:val="002960F8"/>
    <w:rsid w:val="00297A59"/>
    <w:rsid w:val="002B1283"/>
    <w:rsid w:val="002B5F75"/>
    <w:rsid w:val="002B6212"/>
    <w:rsid w:val="002C1DA0"/>
    <w:rsid w:val="002C3CD4"/>
    <w:rsid w:val="002C3D06"/>
    <w:rsid w:val="002C7332"/>
    <w:rsid w:val="002D3111"/>
    <w:rsid w:val="002E044C"/>
    <w:rsid w:val="002E0EA9"/>
    <w:rsid w:val="002E25E6"/>
    <w:rsid w:val="002F3D73"/>
    <w:rsid w:val="00304E51"/>
    <w:rsid w:val="00311AC1"/>
    <w:rsid w:val="00313F1B"/>
    <w:rsid w:val="00316985"/>
    <w:rsid w:val="0032094F"/>
    <w:rsid w:val="00321DF4"/>
    <w:rsid w:val="003243D4"/>
    <w:rsid w:val="0032519B"/>
    <w:rsid w:val="00345736"/>
    <w:rsid w:val="00351DBA"/>
    <w:rsid w:val="003552C1"/>
    <w:rsid w:val="00360269"/>
    <w:rsid w:val="00361435"/>
    <w:rsid w:val="00364BB8"/>
    <w:rsid w:val="0039495C"/>
    <w:rsid w:val="003A2A2C"/>
    <w:rsid w:val="003B7D58"/>
    <w:rsid w:val="003D569E"/>
    <w:rsid w:val="003E139D"/>
    <w:rsid w:val="003E2881"/>
    <w:rsid w:val="003E31AD"/>
    <w:rsid w:val="003F335B"/>
    <w:rsid w:val="004001C3"/>
    <w:rsid w:val="00410091"/>
    <w:rsid w:val="00412ECC"/>
    <w:rsid w:val="004172B8"/>
    <w:rsid w:val="0042474E"/>
    <w:rsid w:val="00426D7A"/>
    <w:rsid w:val="004353B9"/>
    <w:rsid w:val="0044167F"/>
    <w:rsid w:val="00446E1C"/>
    <w:rsid w:val="004538D0"/>
    <w:rsid w:val="004639AA"/>
    <w:rsid w:val="0046682B"/>
    <w:rsid w:val="00470B9B"/>
    <w:rsid w:val="00471C6C"/>
    <w:rsid w:val="00473A1E"/>
    <w:rsid w:val="00484284"/>
    <w:rsid w:val="00486087"/>
    <w:rsid w:val="00487C29"/>
    <w:rsid w:val="004C3F17"/>
    <w:rsid w:val="004C57E1"/>
    <w:rsid w:val="004C6B52"/>
    <w:rsid w:val="004D2A48"/>
    <w:rsid w:val="004D2C00"/>
    <w:rsid w:val="004D3690"/>
    <w:rsid w:val="004D56B5"/>
    <w:rsid w:val="004D6422"/>
    <w:rsid w:val="004E4CAA"/>
    <w:rsid w:val="004E5309"/>
    <w:rsid w:val="0050184E"/>
    <w:rsid w:val="00503F3B"/>
    <w:rsid w:val="00516862"/>
    <w:rsid w:val="00516BCE"/>
    <w:rsid w:val="00520F6C"/>
    <w:rsid w:val="005412A7"/>
    <w:rsid w:val="00545C13"/>
    <w:rsid w:val="00554061"/>
    <w:rsid w:val="0056391F"/>
    <w:rsid w:val="00566C5B"/>
    <w:rsid w:val="00574FA6"/>
    <w:rsid w:val="00592D0D"/>
    <w:rsid w:val="00596E5B"/>
    <w:rsid w:val="005A1C37"/>
    <w:rsid w:val="005A41CF"/>
    <w:rsid w:val="005C072A"/>
    <w:rsid w:val="005C2A54"/>
    <w:rsid w:val="005D2BF5"/>
    <w:rsid w:val="005F0097"/>
    <w:rsid w:val="0060240E"/>
    <w:rsid w:val="00604087"/>
    <w:rsid w:val="00617455"/>
    <w:rsid w:val="00624DFE"/>
    <w:rsid w:val="00630907"/>
    <w:rsid w:val="00637D95"/>
    <w:rsid w:val="00647070"/>
    <w:rsid w:val="00647D53"/>
    <w:rsid w:val="0065024D"/>
    <w:rsid w:val="0065449C"/>
    <w:rsid w:val="00661D1D"/>
    <w:rsid w:val="00665286"/>
    <w:rsid w:val="00671C5F"/>
    <w:rsid w:val="0067741A"/>
    <w:rsid w:val="0069463B"/>
    <w:rsid w:val="00695DBB"/>
    <w:rsid w:val="006969A7"/>
    <w:rsid w:val="006A01A4"/>
    <w:rsid w:val="006A13F4"/>
    <w:rsid w:val="006A1C44"/>
    <w:rsid w:val="006C060B"/>
    <w:rsid w:val="006C31AC"/>
    <w:rsid w:val="006C44D0"/>
    <w:rsid w:val="006C71F5"/>
    <w:rsid w:val="006D5F8A"/>
    <w:rsid w:val="00705AE0"/>
    <w:rsid w:val="00714BCC"/>
    <w:rsid w:val="0071644E"/>
    <w:rsid w:val="00726C20"/>
    <w:rsid w:val="00727D43"/>
    <w:rsid w:val="007334DB"/>
    <w:rsid w:val="00735101"/>
    <w:rsid w:val="00740444"/>
    <w:rsid w:val="00752086"/>
    <w:rsid w:val="00765309"/>
    <w:rsid w:val="00767FB1"/>
    <w:rsid w:val="0078176B"/>
    <w:rsid w:val="007846ED"/>
    <w:rsid w:val="00784FCA"/>
    <w:rsid w:val="00785950"/>
    <w:rsid w:val="0079200A"/>
    <w:rsid w:val="007950C3"/>
    <w:rsid w:val="00797753"/>
    <w:rsid w:val="007A14B3"/>
    <w:rsid w:val="007B5E3C"/>
    <w:rsid w:val="007D3721"/>
    <w:rsid w:val="007E22C3"/>
    <w:rsid w:val="007E6A6B"/>
    <w:rsid w:val="007F082F"/>
    <w:rsid w:val="007F2F03"/>
    <w:rsid w:val="008047C1"/>
    <w:rsid w:val="00811CCF"/>
    <w:rsid w:val="00815FB4"/>
    <w:rsid w:val="00825E8F"/>
    <w:rsid w:val="00845C88"/>
    <w:rsid w:val="008462DD"/>
    <w:rsid w:val="00863254"/>
    <w:rsid w:val="00865FB0"/>
    <w:rsid w:val="0087036F"/>
    <w:rsid w:val="0087084F"/>
    <w:rsid w:val="00872334"/>
    <w:rsid w:val="00875C70"/>
    <w:rsid w:val="0087718D"/>
    <w:rsid w:val="00884E30"/>
    <w:rsid w:val="00885514"/>
    <w:rsid w:val="00896060"/>
    <w:rsid w:val="008A4C3B"/>
    <w:rsid w:val="008B5A6A"/>
    <w:rsid w:val="008B71EA"/>
    <w:rsid w:val="008C49E8"/>
    <w:rsid w:val="008D76C0"/>
    <w:rsid w:val="008E1CCA"/>
    <w:rsid w:val="008E3308"/>
    <w:rsid w:val="008E512A"/>
    <w:rsid w:val="008E57AC"/>
    <w:rsid w:val="008E61E5"/>
    <w:rsid w:val="008F226A"/>
    <w:rsid w:val="00901475"/>
    <w:rsid w:val="00904F30"/>
    <w:rsid w:val="00905656"/>
    <w:rsid w:val="009056B1"/>
    <w:rsid w:val="00913E3F"/>
    <w:rsid w:val="009223A7"/>
    <w:rsid w:val="0092244A"/>
    <w:rsid w:val="00922C75"/>
    <w:rsid w:val="00924F33"/>
    <w:rsid w:val="009266BE"/>
    <w:rsid w:val="00932A00"/>
    <w:rsid w:val="0093726C"/>
    <w:rsid w:val="0094743A"/>
    <w:rsid w:val="00965C10"/>
    <w:rsid w:val="0096778A"/>
    <w:rsid w:val="009709D1"/>
    <w:rsid w:val="00971054"/>
    <w:rsid w:val="00982F80"/>
    <w:rsid w:val="00996D17"/>
    <w:rsid w:val="00996DDA"/>
    <w:rsid w:val="009A1235"/>
    <w:rsid w:val="009B16D0"/>
    <w:rsid w:val="009B2A02"/>
    <w:rsid w:val="009C2404"/>
    <w:rsid w:val="009C5ABD"/>
    <w:rsid w:val="009E453E"/>
    <w:rsid w:val="009E4716"/>
    <w:rsid w:val="009E7FEA"/>
    <w:rsid w:val="009F158D"/>
    <w:rsid w:val="009F4E5A"/>
    <w:rsid w:val="00A01DB5"/>
    <w:rsid w:val="00A15787"/>
    <w:rsid w:val="00A359F5"/>
    <w:rsid w:val="00A504F9"/>
    <w:rsid w:val="00A52C6B"/>
    <w:rsid w:val="00A54FC9"/>
    <w:rsid w:val="00A55DD6"/>
    <w:rsid w:val="00A72E0C"/>
    <w:rsid w:val="00A76A83"/>
    <w:rsid w:val="00A8783E"/>
    <w:rsid w:val="00A95B5E"/>
    <w:rsid w:val="00AA2DD4"/>
    <w:rsid w:val="00AA2EDB"/>
    <w:rsid w:val="00AA6CBB"/>
    <w:rsid w:val="00AB4722"/>
    <w:rsid w:val="00AC0663"/>
    <w:rsid w:val="00AC3EC9"/>
    <w:rsid w:val="00AC68AD"/>
    <w:rsid w:val="00AD5535"/>
    <w:rsid w:val="00AD77B8"/>
    <w:rsid w:val="00AE4A8F"/>
    <w:rsid w:val="00B06C71"/>
    <w:rsid w:val="00B21980"/>
    <w:rsid w:val="00B2437F"/>
    <w:rsid w:val="00B36CA7"/>
    <w:rsid w:val="00B43588"/>
    <w:rsid w:val="00B553A5"/>
    <w:rsid w:val="00B60BF3"/>
    <w:rsid w:val="00B6185A"/>
    <w:rsid w:val="00B64F01"/>
    <w:rsid w:val="00BA3AE6"/>
    <w:rsid w:val="00BB3C5C"/>
    <w:rsid w:val="00BC1890"/>
    <w:rsid w:val="00BD1849"/>
    <w:rsid w:val="00BE1E6C"/>
    <w:rsid w:val="00BE3A60"/>
    <w:rsid w:val="00C012F4"/>
    <w:rsid w:val="00C0403E"/>
    <w:rsid w:val="00C0711D"/>
    <w:rsid w:val="00C17CE0"/>
    <w:rsid w:val="00C25232"/>
    <w:rsid w:val="00C3094F"/>
    <w:rsid w:val="00C469F3"/>
    <w:rsid w:val="00C504D7"/>
    <w:rsid w:val="00C61BBA"/>
    <w:rsid w:val="00C62E00"/>
    <w:rsid w:val="00C745F5"/>
    <w:rsid w:val="00C74A2D"/>
    <w:rsid w:val="00C8009C"/>
    <w:rsid w:val="00C87372"/>
    <w:rsid w:val="00CA0AA2"/>
    <w:rsid w:val="00CA0ED6"/>
    <w:rsid w:val="00CB44C7"/>
    <w:rsid w:val="00CB6446"/>
    <w:rsid w:val="00CC06EA"/>
    <w:rsid w:val="00CC0751"/>
    <w:rsid w:val="00CC2049"/>
    <w:rsid w:val="00CC4AC4"/>
    <w:rsid w:val="00CD001F"/>
    <w:rsid w:val="00CD1546"/>
    <w:rsid w:val="00CD1A22"/>
    <w:rsid w:val="00CE08C2"/>
    <w:rsid w:val="00CE359C"/>
    <w:rsid w:val="00CE3AD0"/>
    <w:rsid w:val="00CE4837"/>
    <w:rsid w:val="00CE547C"/>
    <w:rsid w:val="00CF137B"/>
    <w:rsid w:val="00CF4632"/>
    <w:rsid w:val="00CF705C"/>
    <w:rsid w:val="00D00F80"/>
    <w:rsid w:val="00D13447"/>
    <w:rsid w:val="00D35594"/>
    <w:rsid w:val="00D37F93"/>
    <w:rsid w:val="00D43503"/>
    <w:rsid w:val="00D43E70"/>
    <w:rsid w:val="00D440AC"/>
    <w:rsid w:val="00D466F3"/>
    <w:rsid w:val="00D53FEF"/>
    <w:rsid w:val="00D64EA8"/>
    <w:rsid w:val="00D80B2B"/>
    <w:rsid w:val="00D924C8"/>
    <w:rsid w:val="00D97295"/>
    <w:rsid w:val="00DA40CF"/>
    <w:rsid w:val="00DA5CC6"/>
    <w:rsid w:val="00DB58B5"/>
    <w:rsid w:val="00DD25D3"/>
    <w:rsid w:val="00DD68EC"/>
    <w:rsid w:val="00DF31DB"/>
    <w:rsid w:val="00E01098"/>
    <w:rsid w:val="00E13857"/>
    <w:rsid w:val="00E15249"/>
    <w:rsid w:val="00E21EAE"/>
    <w:rsid w:val="00E24C91"/>
    <w:rsid w:val="00E259BC"/>
    <w:rsid w:val="00E32496"/>
    <w:rsid w:val="00E34A25"/>
    <w:rsid w:val="00E40C19"/>
    <w:rsid w:val="00E44C35"/>
    <w:rsid w:val="00E505C6"/>
    <w:rsid w:val="00E5378D"/>
    <w:rsid w:val="00E57FF4"/>
    <w:rsid w:val="00E60D3B"/>
    <w:rsid w:val="00E71A77"/>
    <w:rsid w:val="00E72A4D"/>
    <w:rsid w:val="00E833EE"/>
    <w:rsid w:val="00E83482"/>
    <w:rsid w:val="00E835DF"/>
    <w:rsid w:val="00E86D3E"/>
    <w:rsid w:val="00E8757C"/>
    <w:rsid w:val="00EA06A1"/>
    <w:rsid w:val="00EA714B"/>
    <w:rsid w:val="00EB4942"/>
    <w:rsid w:val="00EB52C5"/>
    <w:rsid w:val="00EC21EE"/>
    <w:rsid w:val="00ED6CA6"/>
    <w:rsid w:val="00F01085"/>
    <w:rsid w:val="00F02CAE"/>
    <w:rsid w:val="00F163DF"/>
    <w:rsid w:val="00F235E2"/>
    <w:rsid w:val="00F452AA"/>
    <w:rsid w:val="00F52040"/>
    <w:rsid w:val="00F66A74"/>
    <w:rsid w:val="00F76308"/>
    <w:rsid w:val="00F8474F"/>
    <w:rsid w:val="00F93C05"/>
    <w:rsid w:val="00FA5A67"/>
    <w:rsid w:val="00FB6A31"/>
    <w:rsid w:val="00FD59B7"/>
    <w:rsid w:val="00FD6B13"/>
    <w:rsid w:val="00FD6B90"/>
    <w:rsid w:val="00FE38EB"/>
    <w:rsid w:val="00FF7DFA"/>
    <w:rsid w:val="135F0D44"/>
    <w:rsid w:val="1CAE48C7"/>
    <w:rsid w:val="250C6544"/>
    <w:rsid w:val="2F59C161"/>
    <w:rsid w:val="38426334"/>
    <w:rsid w:val="3E2687EA"/>
    <w:rsid w:val="43B0E46D"/>
    <w:rsid w:val="5B94793B"/>
    <w:rsid w:val="6060627A"/>
    <w:rsid w:val="624A151B"/>
    <w:rsid w:val="69F50CCF"/>
    <w:rsid w:val="6D1A7D4F"/>
    <w:rsid w:val="766A2064"/>
    <w:rsid w:val="78F39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13951"/>
  <w15:chartTrackingRefBased/>
  <w15:docId w15:val="{30BA58E7-8861-4CDA-8D70-C91C5A49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B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3C05"/>
    <w:rPr>
      <w:sz w:val="16"/>
      <w:szCs w:val="16"/>
    </w:rPr>
  </w:style>
  <w:style w:type="paragraph" w:styleId="CommentText">
    <w:name w:val="annotation text"/>
    <w:basedOn w:val="Normal"/>
    <w:link w:val="CommentTextChar"/>
    <w:uiPriority w:val="99"/>
    <w:unhideWhenUsed/>
    <w:rsid w:val="00F93C05"/>
    <w:rPr>
      <w:sz w:val="20"/>
      <w:szCs w:val="20"/>
    </w:rPr>
  </w:style>
  <w:style w:type="character" w:customStyle="1" w:styleId="CommentTextChar">
    <w:name w:val="Comment Text Char"/>
    <w:basedOn w:val="DefaultParagraphFont"/>
    <w:link w:val="CommentText"/>
    <w:uiPriority w:val="99"/>
    <w:rsid w:val="00F93C05"/>
    <w:rPr>
      <w:sz w:val="20"/>
      <w:szCs w:val="20"/>
    </w:rPr>
  </w:style>
  <w:style w:type="paragraph" w:styleId="CommentSubject">
    <w:name w:val="annotation subject"/>
    <w:basedOn w:val="CommentText"/>
    <w:next w:val="CommentText"/>
    <w:link w:val="CommentSubjectChar"/>
    <w:uiPriority w:val="99"/>
    <w:semiHidden/>
    <w:unhideWhenUsed/>
    <w:rsid w:val="00F93C05"/>
    <w:rPr>
      <w:b/>
      <w:bCs/>
    </w:rPr>
  </w:style>
  <w:style w:type="character" w:customStyle="1" w:styleId="CommentSubjectChar">
    <w:name w:val="Comment Subject Char"/>
    <w:basedOn w:val="CommentTextChar"/>
    <w:link w:val="CommentSubject"/>
    <w:uiPriority w:val="99"/>
    <w:semiHidden/>
    <w:rsid w:val="00F93C05"/>
    <w:rPr>
      <w:b/>
      <w:bCs/>
      <w:sz w:val="20"/>
      <w:szCs w:val="20"/>
    </w:rPr>
  </w:style>
  <w:style w:type="paragraph" w:styleId="Header">
    <w:name w:val="header"/>
    <w:basedOn w:val="Normal"/>
    <w:link w:val="HeaderChar"/>
    <w:uiPriority w:val="99"/>
    <w:unhideWhenUsed/>
    <w:rsid w:val="00695DBB"/>
    <w:pPr>
      <w:tabs>
        <w:tab w:val="center" w:pos="4680"/>
        <w:tab w:val="right" w:pos="9360"/>
      </w:tabs>
    </w:pPr>
  </w:style>
  <w:style w:type="character" w:customStyle="1" w:styleId="HeaderChar">
    <w:name w:val="Header Char"/>
    <w:basedOn w:val="DefaultParagraphFont"/>
    <w:link w:val="Header"/>
    <w:uiPriority w:val="99"/>
    <w:rsid w:val="00695DBB"/>
  </w:style>
  <w:style w:type="paragraph" w:styleId="Footer">
    <w:name w:val="footer"/>
    <w:basedOn w:val="Normal"/>
    <w:link w:val="FooterChar"/>
    <w:uiPriority w:val="99"/>
    <w:unhideWhenUsed/>
    <w:rsid w:val="00695DBB"/>
    <w:pPr>
      <w:tabs>
        <w:tab w:val="center" w:pos="4680"/>
        <w:tab w:val="right" w:pos="9360"/>
      </w:tabs>
    </w:pPr>
  </w:style>
  <w:style w:type="character" w:customStyle="1" w:styleId="FooterChar">
    <w:name w:val="Footer Char"/>
    <w:basedOn w:val="DefaultParagraphFont"/>
    <w:link w:val="Footer"/>
    <w:uiPriority w:val="99"/>
    <w:rsid w:val="00695DBB"/>
  </w:style>
  <w:style w:type="paragraph" w:styleId="Revision">
    <w:name w:val="Revision"/>
    <w:hidden/>
    <w:uiPriority w:val="99"/>
    <w:semiHidden/>
    <w:rsid w:val="00241D76"/>
  </w:style>
  <w:style w:type="character" w:customStyle="1" w:styleId="Heading1Char">
    <w:name w:val="Heading 1 Char"/>
    <w:basedOn w:val="DefaultParagraphFont"/>
    <w:link w:val="Heading1"/>
    <w:uiPriority w:val="9"/>
    <w:rsid w:val="005D2BF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37F93"/>
    <w:rPr>
      <w:color w:val="0563C1" w:themeColor="hyperlink"/>
      <w:u w:val="single"/>
    </w:rPr>
  </w:style>
  <w:style w:type="character" w:styleId="UnresolvedMention">
    <w:name w:val="Unresolved Mention"/>
    <w:basedOn w:val="DefaultParagraphFont"/>
    <w:uiPriority w:val="99"/>
    <w:semiHidden/>
    <w:unhideWhenUsed/>
    <w:rsid w:val="00D37F93"/>
    <w:rPr>
      <w:color w:val="605E5C"/>
      <w:shd w:val="clear" w:color="auto" w:fill="E1DFDD"/>
    </w:rPr>
  </w:style>
  <w:style w:type="paragraph" w:styleId="ListParagraph">
    <w:name w:val="List Paragraph"/>
    <w:basedOn w:val="Normal"/>
    <w:uiPriority w:val="34"/>
    <w:qFormat/>
    <w:rsid w:val="008A4C3B"/>
    <w:pPr>
      <w:ind w:left="720"/>
      <w:contextualSpacing/>
    </w:pPr>
  </w:style>
  <w:style w:type="paragraph" w:styleId="NormalWeb">
    <w:name w:val="Normal (Web)"/>
    <w:basedOn w:val="Normal"/>
    <w:uiPriority w:val="99"/>
    <w:unhideWhenUsed/>
    <w:rsid w:val="00F163DF"/>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727D43"/>
  </w:style>
  <w:style w:type="character" w:styleId="FollowedHyperlink">
    <w:name w:val="FollowedHyperlink"/>
    <w:basedOn w:val="DefaultParagraphFont"/>
    <w:uiPriority w:val="99"/>
    <w:semiHidden/>
    <w:unhideWhenUsed/>
    <w:rsid w:val="00EA06A1"/>
    <w:rPr>
      <w:color w:val="954F72" w:themeColor="followedHyperlink"/>
      <w:u w:val="single"/>
    </w:rPr>
  </w:style>
  <w:style w:type="character" w:customStyle="1" w:styleId="apple-converted-space">
    <w:name w:val="apple-converted-space"/>
    <w:basedOn w:val="DefaultParagraphFont"/>
    <w:rsid w:val="005C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3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5771709ECE94181F58BB77C8087AF" ma:contentTypeVersion="14" ma:contentTypeDescription="Create a new document." ma:contentTypeScope="" ma:versionID="c92b5bd923e02632d1ed005aaf6d1a29">
  <xsd:schema xmlns:xsd="http://www.w3.org/2001/XMLSchema" xmlns:xs="http://www.w3.org/2001/XMLSchema" xmlns:p="http://schemas.microsoft.com/office/2006/metadata/properties" xmlns:ns2="30fad7ab-31f2-4c9f-ba84-f352d78346df" xmlns:ns3="ee822ff0-a9a5-4424-9f42-a4ddb84099ac" targetNamespace="http://schemas.microsoft.com/office/2006/metadata/properties" ma:root="true" ma:fieldsID="cf9376d4424c33e60790f27071af8323" ns2:_="" ns3:_="">
    <xsd:import namespace="30fad7ab-31f2-4c9f-ba84-f352d78346df"/>
    <xsd:import namespace="ee822ff0-a9a5-4424-9f42-a4ddb8409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ad7ab-31f2-4c9f-ba84-f352d7834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8882c80-0cf4-468a-a21d-ff52c597ef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22ff0-a9a5-4424-9f42-a4ddb84099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99f6e5-121d-43f8-b153-a22057ed9bbd}" ma:internalName="TaxCatchAll" ma:showField="CatchAllData" ma:web="ee822ff0-a9a5-4424-9f42-a4ddb8409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822ff0-a9a5-4424-9f42-a4ddb84099ac" xsi:nil="true"/>
    <lcf76f155ced4ddcb4097134ff3c332f xmlns="30fad7ab-31f2-4c9f-ba84-f352d78346df">
      <Terms xmlns="http://schemas.microsoft.com/office/infopath/2007/PartnerControls"/>
    </lcf76f155ced4ddcb4097134ff3c332f>
    <SharedWithUsers xmlns="ee822ff0-a9a5-4424-9f42-a4ddb84099ac">
      <UserInfo>
        <DisplayName>gary</DisplayName>
        <AccountId>179</AccountId>
        <AccountType/>
      </UserInfo>
      <UserInfo>
        <DisplayName>Keller, Harrison</DisplayName>
        <AccountId>36</AccountId>
        <AccountType/>
      </UserInfo>
      <UserInfo>
        <DisplayName>Cormier, Emily</DisplayName>
        <AccountId>9</AccountId>
        <AccountType/>
      </UserInfo>
      <UserInfo>
        <DisplayName>Salzman, Christine</DisplayName>
        <AccountId>31</AccountId>
        <AccountType/>
      </UserInfo>
      <UserInfo>
        <DisplayName>Peterson, Amy</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7719-02E9-49E1-92D3-0E709612F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ad7ab-31f2-4c9f-ba84-f352d78346df"/>
    <ds:schemaRef ds:uri="ee822ff0-a9a5-4424-9f42-a4ddb8409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9E1A2-FE9F-47D3-B4D0-E4F60315BC53}">
  <ds:schemaRefs>
    <ds:schemaRef ds:uri="http://schemas.microsoft.com/office/2006/metadata/properties"/>
    <ds:schemaRef ds:uri="http://schemas.microsoft.com/office/infopath/2007/PartnerControls"/>
    <ds:schemaRef ds:uri="ee822ff0-a9a5-4424-9f42-a4ddb84099ac"/>
    <ds:schemaRef ds:uri="30fad7ab-31f2-4c9f-ba84-f352d78346df"/>
  </ds:schemaRefs>
</ds:datastoreItem>
</file>

<file path=customXml/itemProps3.xml><?xml version="1.0" encoding="utf-8"?>
<ds:datastoreItem xmlns:ds="http://schemas.openxmlformats.org/officeDocument/2006/customXml" ds:itemID="{5EC3A6BA-B70A-4431-A6A3-966D8A17CEB6}">
  <ds:schemaRefs>
    <ds:schemaRef ds:uri="http://schemas.microsoft.com/sharepoint/v3/contenttype/forms"/>
  </ds:schemaRefs>
</ds:datastoreItem>
</file>

<file path=customXml/itemProps4.xml><?xml version="1.0" encoding="utf-8"?>
<ds:datastoreItem xmlns:ds="http://schemas.openxmlformats.org/officeDocument/2006/customXml" ds:itemID="{9C04C8FE-CF33-4C46-AFE3-AAA2EA4B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5184</Words>
  <Characters>29554</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Susswein</dc:creator>
  <cp:keywords/>
  <dc:description/>
  <cp:lastModifiedBy>Peterson, Amy</cp:lastModifiedBy>
  <cp:revision>58</cp:revision>
  <cp:lastPrinted>2022-10-17T18:31:00Z</cp:lastPrinted>
  <dcterms:created xsi:type="dcterms:W3CDTF">2022-10-17T20:59:00Z</dcterms:created>
  <dcterms:modified xsi:type="dcterms:W3CDTF">2022-10-18T01:16:00Z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0x0101001B95771709ECE94181F58BB77C8087AF</vt:lpwstr>
  </property>
  <property fmtid="{D5CDD505-2E9C-101B-9397-08002B2CF9AE}" pid="3" name="MediaServiceImageTags">
    <vt:lpwstr/>
  </property>
</Properties>
</file>