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E2A4" w14:textId="7D309087" w:rsidR="00830274" w:rsidRDefault="00830274" w:rsidP="00830274">
      <w:pPr>
        <w:autoSpaceDE w:val="0"/>
        <w:autoSpaceDN w:val="0"/>
        <w:adjustRightInd w:val="0"/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830274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#2</w:t>
      </w:r>
      <w:r>
        <w:rPr>
          <w:rFonts w:ascii="Zilla Slab" w:hAnsi="Zilla Slab" w:cs="Times New Roman"/>
          <w:b/>
          <w:bCs/>
          <w:color w:val="003C71"/>
          <w:sz w:val="36"/>
          <w:szCs w:val="36"/>
        </w:rPr>
        <w:t xml:space="preserve">: Cadre 1+ </w:t>
      </w:r>
    </w:p>
    <w:p w14:paraId="4B259788" w14:textId="47A1A520" w:rsidR="00830274" w:rsidRPr="00830274" w:rsidRDefault="00830274" w:rsidP="00830274">
      <w:pPr>
        <w:autoSpaceDE w:val="0"/>
        <w:autoSpaceDN w:val="0"/>
        <w:adjustRightInd w:val="0"/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830274">
        <w:rPr>
          <w:rFonts w:ascii="Encode Sans" w:hAnsi="Encode Sans" w:cs="Times New Roman"/>
          <w:b/>
          <w:bCs/>
          <w:noProof/>
          <w:color w:val="003C71"/>
        </w:rPr>
        <w:drawing>
          <wp:anchor distT="0" distB="0" distL="114300" distR="114300" simplePos="0" relativeHeight="251658240" behindDoc="1" locked="0" layoutInCell="1" allowOverlap="1" wp14:anchorId="14ED86C0" wp14:editId="1CE5820C">
            <wp:simplePos x="0" y="0"/>
            <wp:positionH relativeFrom="column">
              <wp:posOffset>524229</wp:posOffset>
            </wp:positionH>
            <wp:positionV relativeFrom="paragraph">
              <wp:posOffset>183786</wp:posOffset>
            </wp:positionV>
            <wp:extent cx="4570955" cy="2353456"/>
            <wp:effectExtent l="0" t="0" r="1270" b="0"/>
            <wp:wrapNone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8723"/>
                    <a:stretch/>
                  </pic:blipFill>
                  <pic:spPr bwMode="auto">
                    <a:xfrm>
                      <a:off x="0" y="0"/>
                      <a:ext cx="4570955" cy="235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9C8B" w14:textId="70E2CB64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54D8126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69E2AA22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6EDE40DA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236B1EAA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6AC2C0DE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404CDA3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523F78ED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22EF137D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DFDBC5E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60D1B02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22A745CB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17E8559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796063FF" w14:textId="1F48A8C0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  <w:r w:rsidRPr="00830274">
        <w:rPr>
          <w:rFonts w:ascii="Encode Sans" w:hAnsi="Encode Sans" w:cs="Times New Roman"/>
          <w:b/>
          <w:bCs/>
          <w:color w:val="003C71"/>
        </w:rPr>
        <w:t>What are the direct opportunities for further education and high value careers by students enrolled and completing programs at our college?</w:t>
      </w:r>
    </w:p>
    <w:p w14:paraId="01E91BA3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It is especially important to increase opportunity for students from populations that have been underserved in higher education and marginalized in broader society, such as Black, </w:t>
      </w:r>
      <w:proofErr w:type="spellStart"/>
      <w:r w:rsidRPr="00830274">
        <w:rPr>
          <w:rFonts w:ascii="Encode Sans" w:hAnsi="Encode Sans" w:cs="Times New Roman"/>
          <w:color w:val="003C71"/>
          <w:sz w:val="21"/>
          <w:szCs w:val="21"/>
        </w:rPr>
        <w:t>LatinX</w:t>
      </w:r>
      <w:proofErr w:type="spellEnd"/>
      <w:r w:rsidRPr="00830274">
        <w:rPr>
          <w:rFonts w:ascii="Encode Sans" w:hAnsi="Encode Sans" w:cs="Times New Roman"/>
          <w:color w:val="003C71"/>
          <w:sz w:val="21"/>
          <w:szCs w:val="21"/>
        </w:rPr>
        <w:t>, and Indigenous students. By clarifying the value of college programs to students and communities and ensuring equitable access to higher-opportunity programs, community colleges can strengthen their essential role as engines of community recovery and revitalization. (CCRC, 2021)</w:t>
      </w:r>
    </w:p>
    <w:p w14:paraId="66D5E234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653C241" w14:textId="2BBAD722" w:rsidR="00830274" w:rsidRDefault="00830274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Review your college’s </w:t>
      </w:r>
      <w:hyperlink r:id="rId8">
        <w:r w:rsidRPr="00830274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Post-Secondary Education Outcomes Explorer Dashboard (PSEO)</w:t>
        </w:r>
      </w:hyperlink>
      <w:r w:rsidRPr="00830274">
        <w:rPr>
          <w:rFonts w:ascii="Encode Sans" w:hAnsi="Encode Sans" w:cs="Times New Roman"/>
          <w:color w:val="003C71"/>
          <w:sz w:val="21"/>
          <w:szCs w:val="21"/>
        </w:rPr>
        <w:t>.</w:t>
      </w:r>
      <w:r w:rsidRPr="00830274">
        <w:rPr>
          <w:rFonts w:ascii="Encode Sans" w:eastAsia="Times New Roman" w:hAnsi="Encode Sans" w:cs="Times New Roman"/>
          <w:color w:val="003C71"/>
          <w:sz w:val="21"/>
          <w:szCs w:val="21"/>
        </w:rPr>
        <w:t xml:space="preserve"> Use the filters on the dashboard to answer the questions. The filters at the bottom allow for exploration by program name.</w:t>
      </w:r>
    </w:p>
    <w:p w14:paraId="39DC05D9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515"/>
        <w:gridCol w:w="2520"/>
        <w:gridCol w:w="4500"/>
      </w:tblGrid>
      <w:tr w:rsidR="00830274" w:rsidRPr="00830274" w14:paraId="155BFAF6" w14:textId="77777777" w:rsidTr="00830274">
        <w:trPr>
          <w:trHeight w:val="368"/>
        </w:trPr>
        <w:tc>
          <w:tcPr>
            <w:tcW w:w="2515" w:type="dxa"/>
            <w:shd w:val="clear" w:color="auto" w:fill="789D4A"/>
            <w:vAlign w:val="center"/>
          </w:tcPr>
          <w:p w14:paraId="46500E88" w14:textId="77777777" w:rsidR="00830274" w:rsidRPr="00830274" w:rsidRDefault="00830274" w:rsidP="00830274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3027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084A45DC" w14:textId="77777777" w:rsidR="00830274" w:rsidRPr="00830274" w:rsidRDefault="00830274" w:rsidP="00830274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3027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500" w:type="dxa"/>
            <w:shd w:val="clear" w:color="auto" w:fill="789D4A"/>
            <w:vAlign w:val="center"/>
          </w:tcPr>
          <w:p w14:paraId="2466C338" w14:textId="77777777" w:rsidR="00830274" w:rsidRPr="00830274" w:rsidRDefault="00830274" w:rsidP="00830274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3027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830274" w:rsidRPr="00830274" w14:paraId="25DF55A7" w14:textId="77777777" w:rsidTr="00830274">
        <w:tc>
          <w:tcPr>
            <w:tcW w:w="2515" w:type="dxa"/>
          </w:tcPr>
          <w:p w14:paraId="04B76B04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Data Type: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Earnings</w:t>
            </w:r>
          </w:p>
          <w:p w14:paraId="0B911C0C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8EDB68C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State: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Texas</w:t>
            </w:r>
          </w:p>
          <w:p w14:paraId="32810FEC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C4C9C44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Institution: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Choose your college</w:t>
            </w:r>
          </w:p>
          <w:p w14:paraId="421393C7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419002E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Degree Level: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Associates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4E2891BE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Graduation Cohort: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2006-2010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(allows for 1- and 5-years post-grad)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056C063C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 xml:space="preserve">Compare earnings by: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Time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1C37E7F8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Earnings-percentile filter: </w:t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50</w:t>
            </w:r>
          </w:p>
          <w:p w14:paraId="27CAC31A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8AB8427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Program Specificity: </w:t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General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(refers to 2-digit CIP)</w:t>
            </w:r>
          </w:p>
        </w:tc>
        <w:tc>
          <w:tcPr>
            <w:tcW w:w="2520" w:type="dxa"/>
          </w:tcPr>
          <w:p w14:paraId="56F99F7D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 xml:space="preserve">Which of our programs lead to relatively higher opportunity in terms </w:t>
            </w:r>
            <w:proofErr w:type="gramStart"/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of</w:t>
            </w:r>
            <w:proofErr w:type="gramEnd"/>
          </w:p>
          <w:p w14:paraId="416857A6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immediate job earnings?</w:t>
            </w:r>
          </w:p>
          <w:p w14:paraId="5AF761F5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F75C7FF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4486733A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4FF5FFE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4129102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751A569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2438302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305EA13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4F1A89B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5DE03A6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13EB9C5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Which of our programs lead to relatively less opportunity in terms </w:t>
            </w:r>
            <w:proofErr w:type="gramStart"/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of</w:t>
            </w:r>
            <w:proofErr w:type="gramEnd"/>
          </w:p>
          <w:p w14:paraId="7E697276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immediate job earnings?</w:t>
            </w:r>
          </w:p>
          <w:p w14:paraId="2E59060A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500" w:type="dxa"/>
          </w:tcPr>
          <w:p w14:paraId="28497A23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03E59F58" w14:textId="77777777" w:rsidR="00830274" w:rsidRPr="00830274" w:rsidRDefault="00830274" w:rsidP="00830274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1B1EA4E0" w14:textId="77777777" w:rsidR="00830274" w:rsidRPr="00830274" w:rsidRDefault="00830274" w:rsidP="00830274">
      <w:pPr>
        <w:autoSpaceDE w:val="0"/>
        <w:autoSpaceDN w:val="0"/>
        <w:adjustRightInd w:val="0"/>
        <w:rPr>
          <w:rStyle w:val="Hyperlink"/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Review your region’s </w:t>
      </w:r>
      <w:hyperlink r:id="rId9" w:history="1">
        <w:r w:rsidRPr="00830274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Labor Market Insights (LMI) snapshots</w:t>
        </w:r>
      </w:hyperlink>
      <w:r w:rsidRPr="00830274">
        <w:rPr>
          <w:rStyle w:val="Hyperlink"/>
          <w:rFonts w:ascii="Encode Sans" w:hAnsi="Encode Sans" w:cs="Times New Roman"/>
          <w:color w:val="003C71"/>
          <w:sz w:val="21"/>
          <w:szCs w:val="21"/>
        </w:rPr>
        <w:t>.</w:t>
      </w:r>
      <w:r w:rsidRPr="00830274">
        <w:rPr>
          <w:rStyle w:val="Hyperlink"/>
          <w:rFonts w:ascii="Encode Sans" w:hAnsi="Encode Sans" w:cs="Times New Roman"/>
          <w:color w:val="003C71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30274" w:rsidRPr="00830274" w14:paraId="1282F793" w14:textId="77777777" w:rsidTr="00830274">
        <w:trPr>
          <w:trHeight w:val="332"/>
        </w:trPr>
        <w:tc>
          <w:tcPr>
            <w:tcW w:w="2605" w:type="dxa"/>
            <w:shd w:val="clear" w:color="auto" w:fill="789D4A"/>
            <w:vAlign w:val="center"/>
          </w:tcPr>
          <w:p w14:paraId="01A7D7CE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6745" w:type="dxa"/>
            <w:shd w:val="clear" w:color="auto" w:fill="789D4A"/>
            <w:vAlign w:val="center"/>
          </w:tcPr>
          <w:p w14:paraId="1F0EB6AE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Answers</w:t>
            </w:r>
          </w:p>
        </w:tc>
      </w:tr>
      <w:tr w:rsidR="00830274" w:rsidRPr="00830274" w14:paraId="7EEF1BDB" w14:textId="77777777" w:rsidTr="00830274">
        <w:tc>
          <w:tcPr>
            <w:tcW w:w="2605" w:type="dxa"/>
          </w:tcPr>
          <w:p w14:paraId="45607085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Which of our programs lead to relatively more opportunity in terms of immediate job prospects or opportunities?</w:t>
            </w:r>
          </w:p>
        </w:tc>
        <w:tc>
          <w:tcPr>
            <w:tcW w:w="6745" w:type="dxa"/>
            <w:vAlign w:val="center"/>
          </w:tcPr>
          <w:p w14:paraId="1FC983A9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0CCA464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15CB5A6F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35592074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373ECA99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7EC9C948" w14:textId="77777777" w:rsidTr="00660020">
        <w:tc>
          <w:tcPr>
            <w:tcW w:w="2605" w:type="dxa"/>
          </w:tcPr>
          <w:p w14:paraId="360C9D51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Which of our programs lead to relatively less opportunity in terms of immediate job prospects or opportunities?</w:t>
            </w:r>
          </w:p>
          <w:p w14:paraId="1CFBF08A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745" w:type="dxa"/>
          </w:tcPr>
          <w:p w14:paraId="084795E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D4DB7F9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6997A020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78E6CF34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49A7E717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49593818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62C74D1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28A5310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>Look back at the analysis from team time #1.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30274" w:rsidRPr="00830274" w14:paraId="00DBB35B" w14:textId="77777777" w:rsidTr="00830274">
        <w:trPr>
          <w:trHeight w:val="332"/>
        </w:trPr>
        <w:tc>
          <w:tcPr>
            <w:tcW w:w="3685" w:type="dxa"/>
            <w:shd w:val="clear" w:color="auto" w:fill="789D4A"/>
            <w:vAlign w:val="center"/>
          </w:tcPr>
          <w:p w14:paraId="1FA15E30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 xml:space="preserve">Question </w:t>
            </w:r>
          </w:p>
        </w:tc>
        <w:tc>
          <w:tcPr>
            <w:tcW w:w="5665" w:type="dxa"/>
            <w:shd w:val="clear" w:color="auto" w:fill="789D4A"/>
            <w:vAlign w:val="center"/>
          </w:tcPr>
          <w:p w14:paraId="0CA714F5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</w:p>
        </w:tc>
      </w:tr>
      <w:tr w:rsidR="00830274" w:rsidRPr="00830274" w14:paraId="648924AF" w14:textId="77777777" w:rsidTr="00660020">
        <w:tc>
          <w:tcPr>
            <w:tcW w:w="3685" w:type="dxa"/>
          </w:tcPr>
          <w:p w14:paraId="077C4DF4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Are our top five enrollment programs aligned with higher job earnings and opportunity in the PSEO and LMI? </w:t>
            </w:r>
          </w:p>
        </w:tc>
        <w:tc>
          <w:tcPr>
            <w:tcW w:w="5665" w:type="dxa"/>
          </w:tcPr>
          <w:p w14:paraId="46C73D58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7162859C" w14:textId="77777777" w:rsidTr="00660020">
        <w:tc>
          <w:tcPr>
            <w:tcW w:w="3685" w:type="dxa"/>
          </w:tcPr>
          <w:p w14:paraId="7C512948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Are our top five completion programs aligned with higher job earnings and opportunity in the PSEO and LMI?</w:t>
            </w:r>
          </w:p>
          <w:p w14:paraId="50A9BBF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665" w:type="dxa"/>
          </w:tcPr>
          <w:p w14:paraId="1A9C187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BAC945A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D827CC6" w14:textId="35F6C1FD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>Once the college have examined student enrollment in programs classified by whether they lead to higher or lower opportunity post-graduation, the question is whether representation in these programs is equitable. By equity in program enrollments, we refer to whether groups of students (e.g., by race/ethnicity, gender, income) are proportionately represented in different college programs. For example, are Black students underrepresented in high earning programs? (CCRC, 2021)</w:t>
      </w:r>
    </w:p>
    <w:p w14:paraId="567CE984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830274" w:rsidRPr="00830274" w14:paraId="41A74FD0" w14:textId="77777777" w:rsidTr="00830274">
        <w:trPr>
          <w:trHeight w:val="413"/>
        </w:trPr>
        <w:tc>
          <w:tcPr>
            <w:tcW w:w="3865" w:type="dxa"/>
            <w:shd w:val="clear" w:color="auto" w:fill="789D4A"/>
            <w:vAlign w:val="center"/>
          </w:tcPr>
          <w:p w14:paraId="51F98ED9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 xml:space="preserve">Question </w:t>
            </w:r>
          </w:p>
        </w:tc>
        <w:tc>
          <w:tcPr>
            <w:tcW w:w="5485" w:type="dxa"/>
            <w:shd w:val="clear" w:color="auto" w:fill="789D4A"/>
            <w:vAlign w:val="center"/>
          </w:tcPr>
          <w:p w14:paraId="6DE9E948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 xml:space="preserve">Answer </w:t>
            </w:r>
          </w:p>
        </w:tc>
      </w:tr>
      <w:tr w:rsidR="00830274" w:rsidRPr="00830274" w14:paraId="716AAEDD" w14:textId="77777777" w:rsidTr="00660020">
        <w:tc>
          <w:tcPr>
            <w:tcW w:w="3865" w:type="dxa"/>
          </w:tcPr>
          <w:p w14:paraId="4AADC4B0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patterns among subgroups of students do we observe (over-/under-representation) in programs leading to higher opportunities (higher wages, available jobs)? </w:t>
            </w:r>
          </w:p>
          <w:p w14:paraId="075F83E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485" w:type="dxa"/>
          </w:tcPr>
          <w:p w14:paraId="765336D0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4CE94849" w14:textId="77777777" w:rsidTr="00660020">
        <w:tc>
          <w:tcPr>
            <w:tcW w:w="3865" w:type="dxa"/>
          </w:tcPr>
          <w:p w14:paraId="24C3444E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patterns among subgroups of students do we observe (over-/under-representation) in programs leading to lower opportunities (lower wages, fewer jobs)?</w:t>
            </w:r>
          </w:p>
          <w:p w14:paraId="72202D17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485" w:type="dxa"/>
          </w:tcPr>
          <w:p w14:paraId="576EB381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DF99A66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1BA5362A" w14:textId="1117484B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Research and practice tell us that students need to have a clear academic plan early in their college experience, preferably upon entry to the college.  We will now consider institutional actions to support this goal.  </w:t>
      </w:r>
    </w:p>
    <w:p w14:paraId="453D28D5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830274" w:rsidRPr="00830274" w14:paraId="741A0FFD" w14:textId="77777777" w:rsidTr="00830274">
        <w:trPr>
          <w:trHeight w:val="413"/>
        </w:trPr>
        <w:tc>
          <w:tcPr>
            <w:tcW w:w="3955" w:type="dxa"/>
            <w:shd w:val="clear" w:color="auto" w:fill="789D4A"/>
            <w:vAlign w:val="center"/>
          </w:tcPr>
          <w:p w14:paraId="2C1BAD85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</w:p>
        </w:tc>
        <w:tc>
          <w:tcPr>
            <w:tcW w:w="5395" w:type="dxa"/>
            <w:shd w:val="clear" w:color="auto" w:fill="789D4A"/>
            <w:vAlign w:val="center"/>
          </w:tcPr>
          <w:p w14:paraId="3CDC8D00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</w:p>
        </w:tc>
      </w:tr>
      <w:tr w:rsidR="00830274" w:rsidRPr="00830274" w14:paraId="1748AA19" w14:textId="77777777" w:rsidTr="00660020">
        <w:tc>
          <w:tcPr>
            <w:tcW w:w="3955" w:type="dxa"/>
          </w:tcPr>
          <w:p w14:paraId="26E458B2" w14:textId="77777777" w:rsidR="00830274" w:rsidRPr="00830274" w:rsidRDefault="0083027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Are there programs where there is strong student interest or labor market demand for which program maps have not been developed? </w:t>
            </w:r>
          </w:p>
        </w:tc>
        <w:tc>
          <w:tcPr>
            <w:tcW w:w="5395" w:type="dxa"/>
          </w:tcPr>
          <w:p w14:paraId="212B5AD7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0A4C0960" w14:textId="77777777" w:rsidTr="00660020">
        <w:tc>
          <w:tcPr>
            <w:tcW w:w="3955" w:type="dxa"/>
          </w:tcPr>
          <w:p w14:paraId="59B23934" w14:textId="77777777" w:rsidR="00830274" w:rsidRPr="00830274" w:rsidRDefault="0083027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Are there current programs that could be expanded to include short-term credentials?</w:t>
            </w:r>
          </w:p>
        </w:tc>
        <w:tc>
          <w:tcPr>
            <w:tcW w:w="5395" w:type="dxa"/>
          </w:tcPr>
          <w:p w14:paraId="25495B9B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56E5D597" w14:textId="77777777" w:rsidTr="00660020">
        <w:tc>
          <w:tcPr>
            <w:tcW w:w="3955" w:type="dxa"/>
          </w:tcPr>
          <w:p w14:paraId="221066F7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mechanisms are in place to ensure maps are regularly updated and continually improved, including labor market information?</w:t>
            </w:r>
          </w:p>
        </w:tc>
        <w:tc>
          <w:tcPr>
            <w:tcW w:w="5395" w:type="dxa"/>
          </w:tcPr>
          <w:p w14:paraId="6A4AE95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30AD21D3" w14:textId="77777777" w:rsidTr="00660020">
        <w:tc>
          <w:tcPr>
            <w:tcW w:w="3955" w:type="dxa"/>
          </w:tcPr>
          <w:p w14:paraId="4A3FE3C9" w14:textId="77777777" w:rsidR="00830274" w:rsidRPr="00830274" w:rsidRDefault="0083027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processes do we use to understand the levels of student engagement, clarity, and accessibility of content of these maps?</w:t>
            </w:r>
          </w:p>
        </w:tc>
        <w:tc>
          <w:tcPr>
            <w:tcW w:w="5395" w:type="dxa"/>
          </w:tcPr>
          <w:p w14:paraId="10127F5F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0FF14AC4" w14:textId="77777777" w:rsidTr="00660020">
        <w:tc>
          <w:tcPr>
            <w:tcW w:w="3955" w:type="dxa"/>
          </w:tcPr>
          <w:p w14:paraId="7CF76BF9" w14:textId="77777777" w:rsidR="00830274" w:rsidRPr="00830274" w:rsidRDefault="0083027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often do we engage business/industry partners in conversations about the future workforce?  What do we do in addition to advisory committees?</w:t>
            </w:r>
          </w:p>
        </w:tc>
        <w:tc>
          <w:tcPr>
            <w:tcW w:w="5395" w:type="dxa"/>
          </w:tcPr>
          <w:p w14:paraId="3AF624DF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3AF161BD" w14:textId="77777777" w:rsidTr="00660020">
        <w:tc>
          <w:tcPr>
            <w:tcW w:w="3955" w:type="dxa"/>
          </w:tcPr>
          <w:p w14:paraId="36CE0D2E" w14:textId="77777777" w:rsidR="00830274" w:rsidRPr="00830274" w:rsidRDefault="0083027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do we include business and industry leaders in conversations about our transfer programs?  AEL? Continuing education?</w:t>
            </w:r>
          </w:p>
        </w:tc>
        <w:tc>
          <w:tcPr>
            <w:tcW w:w="5395" w:type="dxa"/>
          </w:tcPr>
          <w:p w14:paraId="19DC7E99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593F654D" w14:textId="77777777" w:rsidR="00830274" w:rsidRPr="00830274" w:rsidRDefault="00830274" w:rsidP="00830274">
      <w:pPr>
        <w:spacing w:after="160" w:line="259" w:lineRule="auto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Please upload your completed team time document to the </w:t>
      </w:r>
      <w:hyperlink r:id="rId10">
        <w:r w:rsidRPr="00830274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Document Center on the Event Page</w:t>
        </w:r>
      </w:hyperlink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 using the file name: [Your college name]_TPI4 Team Time 2.docx</w:t>
      </w:r>
    </w:p>
    <w:p w14:paraId="701E2C69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Please have team members decide which concurrent session they will attend.  In team time 3 we will take the first 15 minutes to report back on key learnings from the concurrent session. </w:t>
      </w:r>
    </w:p>
    <w:p w14:paraId="509AB87F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AA4BFD2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ab/>
      </w:r>
    </w:p>
    <w:p w14:paraId="0F2CF1CB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sectPr w:rsidR="00830274" w:rsidRPr="00830274" w:rsidSect="003406C9">
      <w:headerReference w:type="default" r:id="rId11"/>
      <w:footerReference w:type="default" r:id="rId12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50E8" w14:textId="77777777" w:rsidR="009D62FA" w:rsidRDefault="009D62FA" w:rsidP="0094136D">
      <w:r>
        <w:separator/>
      </w:r>
    </w:p>
  </w:endnote>
  <w:endnote w:type="continuationSeparator" w:id="0">
    <w:p w14:paraId="4ED9DDAC" w14:textId="77777777" w:rsidR="009D62FA" w:rsidRDefault="009D62FA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85F9A" id="Rectangle 8" o:spid="_x0000_s1026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" fillcolor="#789d4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A7B1" w14:textId="77777777" w:rsidR="009D62FA" w:rsidRDefault="009D62FA" w:rsidP="0094136D">
      <w:r>
        <w:separator/>
      </w:r>
    </w:p>
  </w:footnote>
  <w:footnote w:type="continuationSeparator" w:id="0">
    <w:p w14:paraId="08E6E2DF" w14:textId="77777777" w:rsidR="009D62FA" w:rsidRDefault="009D62FA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7BC14" id="Rectangle 7" o:spid="_x0000_s1026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6532F"/>
    <w:rsid w:val="000701A3"/>
    <w:rsid w:val="000A4EBF"/>
    <w:rsid w:val="000E209E"/>
    <w:rsid w:val="000E25B8"/>
    <w:rsid w:val="00103DD3"/>
    <w:rsid w:val="00113EFD"/>
    <w:rsid w:val="00190635"/>
    <w:rsid w:val="001A4D6C"/>
    <w:rsid w:val="001C7083"/>
    <w:rsid w:val="001D1EF0"/>
    <w:rsid w:val="00201878"/>
    <w:rsid w:val="002D2454"/>
    <w:rsid w:val="002F37B8"/>
    <w:rsid w:val="003406C9"/>
    <w:rsid w:val="00487855"/>
    <w:rsid w:val="0048788C"/>
    <w:rsid w:val="004A38F8"/>
    <w:rsid w:val="00515122"/>
    <w:rsid w:val="00596B19"/>
    <w:rsid w:val="005B31B6"/>
    <w:rsid w:val="005C0F16"/>
    <w:rsid w:val="00616632"/>
    <w:rsid w:val="0063241B"/>
    <w:rsid w:val="0066394D"/>
    <w:rsid w:val="00702ECD"/>
    <w:rsid w:val="0075572D"/>
    <w:rsid w:val="00794BD8"/>
    <w:rsid w:val="007E134A"/>
    <w:rsid w:val="007E5AF2"/>
    <w:rsid w:val="00830274"/>
    <w:rsid w:val="00855A31"/>
    <w:rsid w:val="0086521E"/>
    <w:rsid w:val="008932A6"/>
    <w:rsid w:val="00911E5C"/>
    <w:rsid w:val="0094136D"/>
    <w:rsid w:val="0098291C"/>
    <w:rsid w:val="009D1F07"/>
    <w:rsid w:val="009D62FA"/>
    <w:rsid w:val="00A4339E"/>
    <w:rsid w:val="00AF3E46"/>
    <w:rsid w:val="00B26ACA"/>
    <w:rsid w:val="00B26B87"/>
    <w:rsid w:val="00B82C26"/>
    <w:rsid w:val="00B865FE"/>
    <w:rsid w:val="00C12CAF"/>
    <w:rsid w:val="00C12EE3"/>
    <w:rsid w:val="00C27F4C"/>
    <w:rsid w:val="00C6668B"/>
    <w:rsid w:val="00D22EED"/>
    <w:rsid w:val="00D8087C"/>
    <w:rsid w:val="00D81A54"/>
    <w:rsid w:val="00DC649C"/>
    <w:rsid w:val="00E13C23"/>
    <w:rsid w:val="00E90E4C"/>
    <w:rsid w:val="00F2632C"/>
    <w:rsid w:val="00F71C98"/>
    <w:rsid w:val="00F91943"/>
    <w:rsid w:val="00FB491C"/>
    <w:rsid w:val="00FB6190"/>
    <w:rsid w:val="00FC3D04"/>
    <w:rsid w:val="055A6882"/>
    <w:rsid w:val="0D3A49C5"/>
    <w:rsid w:val="10E28292"/>
    <w:rsid w:val="17318BB2"/>
    <w:rsid w:val="261FB4D6"/>
    <w:rsid w:val="3B0F32D9"/>
    <w:rsid w:val="4B2EDEF0"/>
    <w:rsid w:val="592D21A6"/>
    <w:rsid w:val="5D236973"/>
    <w:rsid w:val="68D1CBD1"/>
    <w:rsid w:val="6F59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d.ces.census.gov/data/pseo_explorer.html?type=earnings&amp;compare=postgrad&amp;specificity=2&amp;state=48&amp;institution=00353900&amp;degreelevel=03&amp;gradcohort=2006-5&amp;filter=50&amp;program=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cc.org/tsc/events/texas-pathways-institute-4-onboarding-reimagi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8a2wmgbdiox835y/AACZ5bjrgrUl-EekjfbqmfA5a?dl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2</cp:revision>
  <dcterms:created xsi:type="dcterms:W3CDTF">2021-10-27T18:35:00Z</dcterms:created>
  <dcterms:modified xsi:type="dcterms:W3CDTF">2021-10-27T18:35:00Z</dcterms:modified>
</cp:coreProperties>
</file>