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A052" w14:textId="77777777" w:rsidR="00F47694" w:rsidRDefault="00F47694" w:rsidP="00F47694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 w:rsidRPr="0094136D">
        <w:rPr>
          <w:rFonts w:ascii="Zilla Slab" w:hAnsi="Zilla Slab" w:cs="Times New Roman"/>
          <w:b/>
          <w:bCs/>
          <w:color w:val="003C71"/>
          <w:sz w:val="36"/>
          <w:szCs w:val="36"/>
        </w:rPr>
        <w:t>Team Strategy Time #2</w:t>
      </w:r>
      <w:r>
        <w:rPr>
          <w:rFonts w:ascii="Zilla Slab" w:hAnsi="Zilla Slab" w:cs="Times New Roman"/>
          <w:b/>
          <w:bCs/>
          <w:color w:val="003C71"/>
          <w:sz w:val="36"/>
          <w:szCs w:val="36"/>
        </w:rPr>
        <w:t>: Cadre 1</w:t>
      </w:r>
    </w:p>
    <w:p w14:paraId="3FA527C1" w14:textId="77777777" w:rsidR="00F47694" w:rsidRPr="0094136D" w:rsidRDefault="00F47694" w:rsidP="00F47694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</w:p>
    <w:p w14:paraId="3DF2F945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  <w:r>
        <w:rPr>
          <w:rFonts w:ascii="Encode Sans" w:hAnsi="Encode Sans" w:cs="Times New Roman"/>
          <w:b/>
          <w:bCs/>
          <w:noProof/>
          <w:color w:val="003C71"/>
        </w:rPr>
        <w:drawing>
          <wp:anchor distT="0" distB="0" distL="114300" distR="114300" simplePos="0" relativeHeight="251659264" behindDoc="1" locked="0" layoutInCell="1" allowOverlap="1" wp14:anchorId="003FC988" wp14:editId="2A231576">
            <wp:simplePos x="0" y="0"/>
            <wp:positionH relativeFrom="column">
              <wp:posOffset>734060</wp:posOffset>
            </wp:positionH>
            <wp:positionV relativeFrom="paragraph">
              <wp:posOffset>11773</wp:posOffset>
            </wp:positionV>
            <wp:extent cx="4570955" cy="2256019"/>
            <wp:effectExtent l="0" t="0" r="1270" b="5080"/>
            <wp:wrapNone/>
            <wp:docPr id="5" name="Picture 5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melin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" b="12276"/>
                    <a:stretch/>
                  </pic:blipFill>
                  <pic:spPr bwMode="auto">
                    <a:xfrm>
                      <a:off x="0" y="0"/>
                      <a:ext cx="4570955" cy="2256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1A3F5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300BCA51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4F5D56DF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4ADA93DC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3E673983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19162139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010537E4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403DD170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1E988497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5C235E0F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53DC510C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461E0CE8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09E1E811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  <w:r w:rsidRPr="0094136D">
        <w:rPr>
          <w:rFonts w:ascii="Encode Sans" w:hAnsi="Encode Sans" w:cs="Times New Roman"/>
          <w:b/>
          <w:bCs/>
          <w:color w:val="003C71"/>
        </w:rPr>
        <w:t>What are the direct opportunities for further education and high value careers by students enrolled and completing programs at our college?</w:t>
      </w:r>
    </w:p>
    <w:p w14:paraId="3A90881A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55C22290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It is especially important to increase opportunity for students from populations that have been underserved in higher education and marginalized in broader society, such as Black, </w:t>
      </w:r>
      <w:proofErr w:type="spellStart"/>
      <w:r w:rsidRPr="0094136D">
        <w:rPr>
          <w:rFonts w:ascii="Encode Sans" w:hAnsi="Encode Sans" w:cs="Times New Roman"/>
          <w:color w:val="003C71"/>
          <w:sz w:val="21"/>
          <w:szCs w:val="21"/>
        </w:rPr>
        <w:t>LatinX</w:t>
      </w:r>
      <w:proofErr w:type="spellEnd"/>
      <w:r w:rsidRPr="0094136D">
        <w:rPr>
          <w:rFonts w:ascii="Encode Sans" w:hAnsi="Encode Sans" w:cs="Times New Roman"/>
          <w:color w:val="003C71"/>
          <w:sz w:val="21"/>
          <w:szCs w:val="21"/>
        </w:rPr>
        <w:t>, and Indigenous students. By clarifying the value of college programs to students and communities and ensuring equitable access to higher-opportunity programs, community colleges can strengthen their essential role as engines of community recovery and revitalization. (CCRC, 2021)</w:t>
      </w:r>
    </w:p>
    <w:p w14:paraId="13B4D558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1B693B15" w14:textId="77777777" w:rsidR="00F47694" w:rsidRDefault="00F47694" w:rsidP="00F47694">
      <w:pPr>
        <w:autoSpaceDE w:val="0"/>
        <w:autoSpaceDN w:val="0"/>
        <w:adjustRightInd w:val="0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Review your college’s </w:t>
      </w:r>
      <w:hyperlink r:id="rId8">
        <w:r w:rsidRPr="0094136D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Post-Secondary Education Outcomes Explorer Dashboard (PSEO)</w:t>
        </w:r>
      </w:hyperlink>
      <w:r w:rsidRPr="0094136D">
        <w:rPr>
          <w:rFonts w:ascii="Encode Sans" w:hAnsi="Encode Sans" w:cs="Times New Roman"/>
          <w:color w:val="003C71"/>
          <w:sz w:val="21"/>
          <w:szCs w:val="21"/>
        </w:rPr>
        <w:t>.</w:t>
      </w:r>
      <w:r w:rsidRPr="0094136D">
        <w:rPr>
          <w:rFonts w:ascii="Encode Sans" w:eastAsia="Times New Roman" w:hAnsi="Encode Sans" w:cs="Times New Roman"/>
          <w:color w:val="003C71"/>
          <w:sz w:val="21"/>
          <w:szCs w:val="21"/>
        </w:rPr>
        <w:t xml:space="preserve"> Use the filters on the dashboard to answer the questions. The filters at the bottom allow for exploration by program name.</w:t>
      </w:r>
    </w:p>
    <w:p w14:paraId="2F0C4B41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2605"/>
        <w:gridCol w:w="2430"/>
        <w:gridCol w:w="4500"/>
      </w:tblGrid>
      <w:tr w:rsidR="00F47694" w:rsidRPr="0094136D" w14:paraId="29A15F3E" w14:textId="77777777" w:rsidTr="00660020">
        <w:trPr>
          <w:trHeight w:val="449"/>
        </w:trPr>
        <w:tc>
          <w:tcPr>
            <w:tcW w:w="2605" w:type="dxa"/>
            <w:shd w:val="clear" w:color="auto" w:fill="789D4A"/>
            <w:vAlign w:val="center"/>
          </w:tcPr>
          <w:p w14:paraId="05AFC00D" w14:textId="77777777" w:rsidR="00F47694" w:rsidRPr="0094136D" w:rsidRDefault="00F47694" w:rsidP="00660020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430" w:type="dxa"/>
            <w:shd w:val="clear" w:color="auto" w:fill="789D4A"/>
            <w:vAlign w:val="center"/>
          </w:tcPr>
          <w:p w14:paraId="4267787B" w14:textId="77777777" w:rsidR="00F47694" w:rsidRPr="0094136D" w:rsidRDefault="00F47694" w:rsidP="00660020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4500" w:type="dxa"/>
            <w:shd w:val="clear" w:color="auto" w:fill="789D4A"/>
            <w:vAlign w:val="center"/>
          </w:tcPr>
          <w:p w14:paraId="1685E4A6" w14:textId="77777777" w:rsidR="00F47694" w:rsidRPr="0094136D" w:rsidRDefault="00F47694" w:rsidP="00660020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</w:t>
            </w:r>
          </w:p>
        </w:tc>
      </w:tr>
      <w:tr w:rsidR="00F47694" w:rsidRPr="0094136D" w14:paraId="3CDFE804" w14:textId="77777777" w:rsidTr="00660020">
        <w:tc>
          <w:tcPr>
            <w:tcW w:w="2605" w:type="dxa"/>
          </w:tcPr>
          <w:p w14:paraId="2ECF8413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Data Type: </w:t>
            </w: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94136D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Earnings</w:t>
            </w:r>
          </w:p>
          <w:p w14:paraId="6A0A895E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3144CB64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State: </w:t>
            </w: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94136D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Texas</w:t>
            </w:r>
          </w:p>
          <w:p w14:paraId="373B98EA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04661DD5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Institution: </w:t>
            </w: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94136D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Choose your college</w:t>
            </w:r>
          </w:p>
          <w:p w14:paraId="5C93192B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12396795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Degree Level:</w:t>
            </w: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94136D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Associates</w:t>
            </w: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</w:p>
          <w:p w14:paraId="3F477441" w14:textId="77777777" w:rsidR="00F47694" w:rsidRPr="0094136D" w:rsidRDefault="00F4769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Graduation Cohort: </w:t>
            </w: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94136D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2006-2010</w:t>
            </w: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(allows for 1- </w:t>
            </w: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lastRenderedPageBreak/>
              <w:t>and 5-years post-grad)</w:t>
            </w: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</w:p>
          <w:p w14:paraId="3343B323" w14:textId="77777777" w:rsidR="00F47694" w:rsidRPr="0094136D" w:rsidRDefault="00F4769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Compare earnings by: </w:t>
            </w: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94136D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Time</w:t>
            </w: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</w:p>
          <w:p w14:paraId="473C112B" w14:textId="77777777" w:rsidR="00F47694" w:rsidRPr="0094136D" w:rsidRDefault="00F4769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Earnings-percentile filter: </w:t>
            </w:r>
            <w:r w:rsidRPr="0094136D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50</w:t>
            </w:r>
          </w:p>
          <w:p w14:paraId="666B7516" w14:textId="77777777" w:rsidR="00F47694" w:rsidRPr="0094136D" w:rsidRDefault="00F4769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4377BE5C" w14:textId="77777777" w:rsidR="00F47694" w:rsidRPr="0094136D" w:rsidRDefault="00F4769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Program Specificity: </w:t>
            </w:r>
            <w:r w:rsidRPr="0094136D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General</w:t>
            </w: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(refers to 2-digit CIP)</w:t>
            </w:r>
          </w:p>
        </w:tc>
        <w:tc>
          <w:tcPr>
            <w:tcW w:w="2430" w:type="dxa"/>
          </w:tcPr>
          <w:p w14:paraId="63CEA271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lastRenderedPageBreak/>
              <w:t xml:space="preserve">Which of our programs lead to relatively higher opportunity in terms </w:t>
            </w:r>
            <w:proofErr w:type="gramStart"/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of</w:t>
            </w:r>
            <w:proofErr w:type="gramEnd"/>
          </w:p>
          <w:p w14:paraId="093AACC9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immediate job earnings?</w:t>
            </w:r>
          </w:p>
          <w:p w14:paraId="2B03456E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378B5F75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78D9E4D1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5A2C138B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67F6B1CE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7E1024C4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4C5F79D9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05D26369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733C63FF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6ED517F5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0005089F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lastRenderedPageBreak/>
              <w:t xml:space="preserve">Which of our programs lead to relatively less opportunity in terms </w:t>
            </w:r>
            <w:proofErr w:type="gramStart"/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of</w:t>
            </w:r>
            <w:proofErr w:type="gramEnd"/>
          </w:p>
          <w:p w14:paraId="5C285D8E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immediate job earnings?</w:t>
            </w:r>
          </w:p>
          <w:p w14:paraId="1399E75B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500" w:type="dxa"/>
          </w:tcPr>
          <w:p w14:paraId="124D5C70" w14:textId="77777777" w:rsidR="00F47694" w:rsidRPr="0094136D" w:rsidRDefault="00F4769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74D4A52F" w14:textId="77777777" w:rsidR="00F47694" w:rsidRPr="0094136D" w:rsidRDefault="00F47694" w:rsidP="00F47694">
      <w:pPr>
        <w:rPr>
          <w:rFonts w:ascii="Encode Sans" w:hAnsi="Encode Sans"/>
          <w:color w:val="003C71"/>
        </w:rPr>
      </w:pPr>
    </w:p>
    <w:p w14:paraId="1CD20412" w14:textId="77777777" w:rsidR="00F47694" w:rsidRPr="0094136D" w:rsidRDefault="00F47694" w:rsidP="00F47694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3FF2F417" w14:textId="77777777" w:rsidR="00F47694" w:rsidRPr="0094136D" w:rsidRDefault="00F47694" w:rsidP="00F47694">
      <w:pPr>
        <w:autoSpaceDE w:val="0"/>
        <w:autoSpaceDN w:val="0"/>
        <w:adjustRightInd w:val="0"/>
        <w:rPr>
          <w:rStyle w:val="Hyperlink"/>
          <w:rFonts w:ascii="Encode Sans" w:hAnsi="Encode Sans" w:cs="Times New Roman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Review your </w:t>
      </w:r>
      <w:r w:rsidRPr="0094136D">
        <w:rPr>
          <w:rFonts w:ascii="Encode Sans" w:hAnsi="Encode Sans"/>
          <w:color w:val="003C71"/>
        </w:rPr>
        <w:t xml:space="preserve">region’s </w:t>
      </w:r>
      <w:hyperlink r:id="rId9" w:history="1">
        <w:r w:rsidRPr="0094136D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Labor Market Insights (LMI) snapshots</w:t>
        </w:r>
      </w:hyperlink>
      <w:r w:rsidRPr="0094136D">
        <w:rPr>
          <w:rStyle w:val="Hyperlink"/>
          <w:rFonts w:ascii="Encode Sans" w:hAnsi="Encode Sans" w:cs="Times New Roman"/>
          <w:color w:val="003C71"/>
          <w:sz w:val="21"/>
          <w:szCs w:val="21"/>
        </w:rPr>
        <w:t>.</w:t>
      </w:r>
      <w:r w:rsidRPr="0094136D">
        <w:rPr>
          <w:rStyle w:val="Hyperlink"/>
          <w:rFonts w:ascii="Encode Sans" w:hAnsi="Encode Sans" w:cs="Times New Roman"/>
          <w:color w:val="003C71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47694" w:rsidRPr="0094136D" w14:paraId="2D47A43E" w14:textId="77777777" w:rsidTr="00660020">
        <w:trPr>
          <w:trHeight w:val="440"/>
        </w:trPr>
        <w:tc>
          <w:tcPr>
            <w:tcW w:w="2605" w:type="dxa"/>
            <w:shd w:val="clear" w:color="auto" w:fill="789D4A"/>
            <w:vAlign w:val="center"/>
          </w:tcPr>
          <w:p w14:paraId="668AF01E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Questions</w:t>
            </w:r>
          </w:p>
        </w:tc>
        <w:tc>
          <w:tcPr>
            <w:tcW w:w="6745" w:type="dxa"/>
            <w:shd w:val="clear" w:color="auto" w:fill="789D4A"/>
            <w:vAlign w:val="center"/>
          </w:tcPr>
          <w:p w14:paraId="7B2A9FF6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Answers</w:t>
            </w:r>
          </w:p>
        </w:tc>
      </w:tr>
      <w:tr w:rsidR="00F47694" w:rsidRPr="0094136D" w14:paraId="345D80C4" w14:textId="77777777" w:rsidTr="00660020">
        <w:tc>
          <w:tcPr>
            <w:tcW w:w="2605" w:type="dxa"/>
          </w:tcPr>
          <w:p w14:paraId="3074AC60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Which of our programs lead to relatively more opportunity in terms of immediate job prospects or opportunities?</w:t>
            </w:r>
          </w:p>
        </w:tc>
        <w:tc>
          <w:tcPr>
            <w:tcW w:w="6745" w:type="dxa"/>
          </w:tcPr>
          <w:p w14:paraId="0705AE27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7FF6C862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39725CFA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7365A295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1D1B1E13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F47694" w:rsidRPr="0094136D" w14:paraId="3F123D8B" w14:textId="77777777" w:rsidTr="00660020">
        <w:tc>
          <w:tcPr>
            <w:tcW w:w="2605" w:type="dxa"/>
          </w:tcPr>
          <w:p w14:paraId="0221AC15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Which of our programs lead to relatively less opportunity in terms of immediate job prospects or opportunities?</w:t>
            </w:r>
          </w:p>
          <w:p w14:paraId="60D3630A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6745" w:type="dxa"/>
          </w:tcPr>
          <w:p w14:paraId="288B666E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06E554BE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26F0BB24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7C481DCE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75AC5DD8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/>
                <w:color w:val="003C71"/>
              </w:rPr>
            </w:pPr>
          </w:p>
          <w:p w14:paraId="70992AF7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39CFC20E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725474A4" w14:textId="1EFB2C68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>Look back at the analysis from team time #1.</w:t>
      </w:r>
    </w:p>
    <w:p w14:paraId="24E36029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7694" w:rsidRPr="0094136D" w14:paraId="3DFAA8FC" w14:textId="77777777" w:rsidTr="00660020">
        <w:trPr>
          <w:trHeight w:val="422"/>
        </w:trPr>
        <w:tc>
          <w:tcPr>
            <w:tcW w:w="4675" w:type="dxa"/>
            <w:shd w:val="clear" w:color="auto" w:fill="789D4A"/>
            <w:vAlign w:val="center"/>
          </w:tcPr>
          <w:p w14:paraId="2D0BA473" w14:textId="44CF6736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</w:t>
            </w:r>
            <w:r w:rsidR="00345D6B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  <w:tc>
          <w:tcPr>
            <w:tcW w:w="4675" w:type="dxa"/>
            <w:shd w:val="clear" w:color="auto" w:fill="789D4A"/>
            <w:vAlign w:val="center"/>
          </w:tcPr>
          <w:p w14:paraId="32B0A6C5" w14:textId="63B76F0A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  <w:r w:rsidR="00345D6B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</w:tr>
      <w:tr w:rsidR="00F47694" w:rsidRPr="0094136D" w14:paraId="6DAD62AA" w14:textId="77777777" w:rsidTr="00660020">
        <w:tc>
          <w:tcPr>
            <w:tcW w:w="4675" w:type="dxa"/>
          </w:tcPr>
          <w:p w14:paraId="5431A815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Are our top five enrollment programs aligned with higher job earnings and opportunity in the PSEO and LMI?</w:t>
            </w:r>
          </w:p>
        </w:tc>
        <w:tc>
          <w:tcPr>
            <w:tcW w:w="4675" w:type="dxa"/>
          </w:tcPr>
          <w:p w14:paraId="100A13FC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F47694" w:rsidRPr="0094136D" w14:paraId="7F722E49" w14:textId="77777777" w:rsidTr="00660020">
        <w:tc>
          <w:tcPr>
            <w:tcW w:w="4675" w:type="dxa"/>
          </w:tcPr>
          <w:p w14:paraId="2FAF15D6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Are our top five completion programs aligned with higher job earnings and opportunity in the PSEO and LMI?</w:t>
            </w:r>
          </w:p>
        </w:tc>
        <w:tc>
          <w:tcPr>
            <w:tcW w:w="4675" w:type="dxa"/>
          </w:tcPr>
          <w:p w14:paraId="6AE572CE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5A66A49F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2EC65C94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0ADA5410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74D7A96C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108B9C9B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5703B043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438DDEE5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34ACC7E4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637D415B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57411D7E" w14:textId="77777777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0BD13F0F" w14:textId="41ECB838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>Once the college examined student enrollment in programs classified by whether they lead to higher or lower opportunity post-graduation, the question is whether representation in these programs is equitable. By equity in program enrollments, we refer to whether groups of students (e.g., by race/ethnicity, gender, income) are proportionately represented in different college programs. For example, are Black students underrepresented in high earning programs?</w:t>
      </w:r>
    </w:p>
    <w:p w14:paraId="31642672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7694" w:rsidRPr="0094136D" w14:paraId="7BD68B19" w14:textId="77777777" w:rsidTr="00660020">
        <w:trPr>
          <w:trHeight w:val="386"/>
        </w:trPr>
        <w:tc>
          <w:tcPr>
            <w:tcW w:w="4675" w:type="dxa"/>
            <w:shd w:val="clear" w:color="auto" w:fill="789D4A"/>
            <w:vAlign w:val="center"/>
          </w:tcPr>
          <w:p w14:paraId="756CCC55" w14:textId="0F2BBD1C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</w:t>
            </w:r>
            <w:r w:rsidR="00345D6B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  <w:tc>
          <w:tcPr>
            <w:tcW w:w="4675" w:type="dxa"/>
            <w:shd w:val="clear" w:color="auto" w:fill="789D4A"/>
            <w:vAlign w:val="center"/>
          </w:tcPr>
          <w:p w14:paraId="69E7C752" w14:textId="1C0292EC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  <w:r w:rsidR="00345D6B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</w:tr>
      <w:tr w:rsidR="00F47694" w:rsidRPr="0094136D" w14:paraId="67CAF99C" w14:textId="77777777" w:rsidTr="00660020">
        <w:tc>
          <w:tcPr>
            <w:tcW w:w="4675" w:type="dxa"/>
          </w:tcPr>
          <w:p w14:paraId="70A33703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What patterns among subgroups of students do we observe (over-/under-representation) in programs leading to higher opportunities (higher wages, available jobs)? </w:t>
            </w:r>
          </w:p>
        </w:tc>
        <w:tc>
          <w:tcPr>
            <w:tcW w:w="4675" w:type="dxa"/>
          </w:tcPr>
          <w:p w14:paraId="408274E3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F47694" w:rsidRPr="0094136D" w14:paraId="06A6DFAE" w14:textId="77777777" w:rsidTr="00660020">
        <w:tc>
          <w:tcPr>
            <w:tcW w:w="4675" w:type="dxa"/>
          </w:tcPr>
          <w:p w14:paraId="70D6CB02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patterns among subgroups of students do we observe (over-/under-representation) in programs leading to lower opportunities (lower wages, fewer jobs)?</w:t>
            </w:r>
          </w:p>
        </w:tc>
        <w:tc>
          <w:tcPr>
            <w:tcW w:w="4675" w:type="dxa"/>
          </w:tcPr>
          <w:p w14:paraId="7B36F6CC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08F557D5" w14:textId="77777777" w:rsidR="00F47694" w:rsidRPr="0094136D" w:rsidRDefault="00F47694" w:rsidP="00F47694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47374A0A" w14:textId="6A239EAE" w:rsidR="00F47694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Research and practice tell us that students need to have a clear academic plan early in their college experience, preferably upon entry to the college.  We will now consider institutional actions to support this goal.  </w:t>
      </w:r>
    </w:p>
    <w:p w14:paraId="738B6D0C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7694" w:rsidRPr="0094136D" w14:paraId="1B5920AD" w14:textId="77777777" w:rsidTr="00660020">
        <w:trPr>
          <w:trHeight w:val="377"/>
        </w:trPr>
        <w:tc>
          <w:tcPr>
            <w:tcW w:w="4675" w:type="dxa"/>
            <w:shd w:val="clear" w:color="auto" w:fill="789D4A"/>
            <w:vAlign w:val="center"/>
          </w:tcPr>
          <w:p w14:paraId="2F203C4C" w14:textId="29CB209B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</w:t>
            </w:r>
            <w:r w:rsidR="00345D6B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  <w:tc>
          <w:tcPr>
            <w:tcW w:w="4675" w:type="dxa"/>
            <w:shd w:val="clear" w:color="auto" w:fill="789D4A"/>
            <w:vAlign w:val="center"/>
          </w:tcPr>
          <w:p w14:paraId="02B60136" w14:textId="70AEAEFA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  <w:r w:rsidR="00345D6B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</w:tr>
      <w:tr w:rsidR="00F47694" w:rsidRPr="0094136D" w14:paraId="6EF5384A" w14:textId="77777777" w:rsidTr="00660020">
        <w:tc>
          <w:tcPr>
            <w:tcW w:w="4675" w:type="dxa"/>
          </w:tcPr>
          <w:p w14:paraId="45475F32" w14:textId="77777777" w:rsidR="00F47694" w:rsidRPr="0094136D" w:rsidRDefault="00F47694" w:rsidP="00660020">
            <w:pPr>
              <w:spacing w:after="160"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Are there programs where there is strong student interest or labor market demand for which program maps have not been developed?</w:t>
            </w:r>
          </w:p>
        </w:tc>
        <w:tc>
          <w:tcPr>
            <w:tcW w:w="4675" w:type="dxa"/>
          </w:tcPr>
          <w:p w14:paraId="5E1BE38B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F47694" w:rsidRPr="0094136D" w14:paraId="16724974" w14:textId="77777777" w:rsidTr="00660020">
        <w:tc>
          <w:tcPr>
            <w:tcW w:w="4675" w:type="dxa"/>
          </w:tcPr>
          <w:p w14:paraId="507D6532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Do our program maps include labor market data? How often is the data updated?</w:t>
            </w:r>
          </w:p>
        </w:tc>
        <w:tc>
          <w:tcPr>
            <w:tcW w:w="4675" w:type="dxa"/>
          </w:tcPr>
          <w:p w14:paraId="75A001CF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F47694" w:rsidRPr="0094136D" w14:paraId="24771FE0" w14:textId="77777777" w:rsidTr="00660020">
        <w:tc>
          <w:tcPr>
            <w:tcW w:w="4675" w:type="dxa"/>
          </w:tcPr>
          <w:p w14:paraId="3978A64E" w14:textId="77777777" w:rsidR="00F47694" w:rsidRPr="0094136D" w:rsidRDefault="00F47694" w:rsidP="00660020">
            <w:pPr>
              <w:spacing w:after="160"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How often do we engage business/industry partners in conversations about the future workforce?  What do we do in addition to advisory committees?</w:t>
            </w:r>
          </w:p>
        </w:tc>
        <w:tc>
          <w:tcPr>
            <w:tcW w:w="4675" w:type="dxa"/>
          </w:tcPr>
          <w:p w14:paraId="6490DCE5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F47694" w:rsidRPr="0094136D" w14:paraId="7743E6AE" w14:textId="77777777" w:rsidTr="00660020">
        <w:tc>
          <w:tcPr>
            <w:tcW w:w="4675" w:type="dxa"/>
          </w:tcPr>
          <w:p w14:paraId="090E9052" w14:textId="77777777" w:rsidR="00F47694" w:rsidRPr="0094136D" w:rsidRDefault="00F47694" w:rsidP="00660020">
            <w:pPr>
              <w:spacing w:after="160"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How do we include business and industry leaders in conversations about our transfer programs?  AEL? Continuing education</w:t>
            </w:r>
          </w:p>
        </w:tc>
        <w:tc>
          <w:tcPr>
            <w:tcW w:w="4675" w:type="dxa"/>
          </w:tcPr>
          <w:p w14:paraId="0EC35942" w14:textId="77777777" w:rsidR="00F47694" w:rsidRPr="0094136D" w:rsidRDefault="00F4769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02F599C6" w14:textId="77777777" w:rsidR="00F47694" w:rsidRPr="0094136D" w:rsidRDefault="00F47694" w:rsidP="00F47694">
      <w:pPr>
        <w:rPr>
          <w:rFonts w:ascii="Encode Sans" w:hAnsi="Encode Sans"/>
          <w:color w:val="003C71"/>
        </w:rPr>
      </w:pPr>
    </w:p>
    <w:p w14:paraId="2318FE73" w14:textId="77777777" w:rsidR="00F47694" w:rsidRPr="0094136D" w:rsidRDefault="00F47694" w:rsidP="00F47694">
      <w:pPr>
        <w:rPr>
          <w:rFonts w:ascii="Encode Sans" w:hAnsi="Encode Sans"/>
          <w:color w:val="003C71"/>
        </w:rPr>
      </w:pPr>
    </w:p>
    <w:p w14:paraId="10E63A21" w14:textId="77777777" w:rsidR="00F47694" w:rsidRPr="0094136D" w:rsidRDefault="00F47694" w:rsidP="00F47694">
      <w:pPr>
        <w:spacing w:after="160" w:line="259" w:lineRule="auto"/>
        <w:rPr>
          <w:rFonts w:ascii="Encode Sans" w:hAnsi="Encode Sans" w:cs="Times New Roman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Please upload your completed team time document to the </w:t>
      </w:r>
      <w:hyperlink r:id="rId10">
        <w:r w:rsidRPr="0094136D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Document Center on the Event Page</w:t>
        </w:r>
      </w:hyperlink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 using the file name: [Your college name]_TPI4 Team Time 2.docx</w:t>
      </w:r>
    </w:p>
    <w:p w14:paraId="6B50BEE1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b/>
          <w:bCs/>
          <w:color w:val="003C71"/>
          <w:sz w:val="21"/>
          <w:szCs w:val="21"/>
        </w:rPr>
        <w:t xml:space="preserve">Please have team members decide which concurrent session they will attend.  In team time 3 we will take the first 15 minutes to report back on key learnings from the concurrent session. </w:t>
      </w:r>
    </w:p>
    <w:p w14:paraId="13B7B51A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09AB6790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ab/>
      </w:r>
    </w:p>
    <w:p w14:paraId="6A8B621C" w14:textId="77777777" w:rsidR="00F47694" w:rsidRPr="0094136D" w:rsidRDefault="00F47694" w:rsidP="00F4769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sectPr w:rsidR="00F47694" w:rsidRPr="0094136D" w:rsidSect="00DC72D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C53F" w14:textId="77777777" w:rsidR="003B5C54" w:rsidRDefault="003B5C54" w:rsidP="00991100">
      <w:r>
        <w:separator/>
      </w:r>
    </w:p>
  </w:endnote>
  <w:endnote w:type="continuationSeparator" w:id="0">
    <w:p w14:paraId="6675627F" w14:textId="77777777" w:rsidR="003B5C54" w:rsidRDefault="003B5C54" w:rsidP="0099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Encode Sans">
    <w:altName w:val="Calibri"/>
    <w:panose1 w:val="000005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2D1B" w14:textId="77777777" w:rsidR="003B5C54" w:rsidRDefault="003B5C54" w:rsidP="00991100">
      <w:r>
        <w:separator/>
      </w:r>
    </w:p>
  </w:footnote>
  <w:footnote w:type="continuationSeparator" w:id="0">
    <w:p w14:paraId="5C22F7B7" w14:textId="77777777" w:rsidR="003B5C54" w:rsidRDefault="003B5C54" w:rsidP="0099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2F15" w14:textId="1073F929" w:rsidR="00991100" w:rsidRDefault="00991100">
    <w:pPr>
      <w:pStyle w:val="Header"/>
    </w:pPr>
    <w:r w:rsidRPr="00991100">
      <w:rPr>
        <w:noProof/>
      </w:rPr>
      <w:drawing>
        <wp:anchor distT="0" distB="0" distL="114300" distR="114300" simplePos="0" relativeHeight="251662336" behindDoc="1" locked="0" layoutInCell="1" allowOverlap="1" wp14:anchorId="7C994042" wp14:editId="4B2FB7F8">
          <wp:simplePos x="0" y="0"/>
          <wp:positionH relativeFrom="column">
            <wp:posOffset>-539750</wp:posOffset>
          </wp:positionH>
          <wp:positionV relativeFrom="paragraph">
            <wp:posOffset>-36830</wp:posOffset>
          </wp:positionV>
          <wp:extent cx="1528445" cy="3530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100">
      <w:rPr>
        <w:noProof/>
      </w:rPr>
      <w:drawing>
        <wp:anchor distT="0" distB="0" distL="114300" distR="114300" simplePos="0" relativeHeight="251661312" behindDoc="1" locked="0" layoutInCell="1" allowOverlap="1" wp14:anchorId="6F74E68F" wp14:editId="5F5E9966">
          <wp:simplePos x="0" y="0"/>
          <wp:positionH relativeFrom="column">
            <wp:posOffset>5567680</wp:posOffset>
          </wp:positionH>
          <wp:positionV relativeFrom="paragraph">
            <wp:posOffset>-112395</wp:posOffset>
          </wp:positionV>
          <wp:extent cx="1064260" cy="467995"/>
          <wp:effectExtent l="0" t="0" r="2540" b="190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10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BFAE7" wp14:editId="4A4F4D8B">
              <wp:simplePos x="0" y="0"/>
              <wp:positionH relativeFrom="column">
                <wp:posOffset>-907415</wp:posOffset>
              </wp:positionH>
              <wp:positionV relativeFrom="paragraph">
                <wp:posOffset>9384665</wp:posOffset>
              </wp:positionV>
              <wp:extent cx="7757160" cy="224790"/>
              <wp:effectExtent l="0" t="0" r="254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224790"/>
                      </a:xfrm>
                      <a:prstGeom prst="rect">
                        <a:avLst/>
                      </a:prstGeom>
                      <a:solidFill>
                        <a:srgbClr val="78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1C9C63" id="Rectangle 8" o:spid="_x0000_s1026" style="position:absolute;margin-left:-71.45pt;margin-top:738.95pt;width:610.8pt;height:1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" fillcolor="#789d4a" stroked="f" strokeweight="1pt"/>
          </w:pict>
        </mc:Fallback>
      </mc:AlternateContent>
    </w:r>
    <w:r w:rsidRPr="0099110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28459" wp14:editId="2AED82C3">
              <wp:simplePos x="0" y="0"/>
              <wp:positionH relativeFrom="column">
                <wp:posOffset>-906905</wp:posOffset>
              </wp:positionH>
              <wp:positionV relativeFrom="paragraph">
                <wp:posOffset>-457200</wp:posOffset>
              </wp:positionV>
              <wp:extent cx="7757410" cy="224853"/>
              <wp:effectExtent l="0" t="0" r="2540" b="381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60D501" id="Rectangle 7" o:spid="_x0000_s1026" style="position:absolute;margin-left:-71.4pt;margin-top:-36pt;width:610.8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" fillcolor="#003c7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54D"/>
    <w:multiLevelType w:val="hybridMultilevel"/>
    <w:tmpl w:val="7550F482"/>
    <w:lvl w:ilvl="0" w:tplc="AE08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2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83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4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D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08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2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1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0E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43DC"/>
    <w:multiLevelType w:val="hybridMultilevel"/>
    <w:tmpl w:val="FF10C596"/>
    <w:lvl w:ilvl="0" w:tplc="A67C5392">
      <w:numFmt w:val="none"/>
      <w:lvlText w:val=""/>
      <w:lvlJc w:val="left"/>
      <w:pPr>
        <w:tabs>
          <w:tab w:val="num" w:pos="360"/>
        </w:tabs>
      </w:pPr>
    </w:lvl>
    <w:lvl w:ilvl="1" w:tplc="7B224068">
      <w:start w:val="1"/>
      <w:numFmt w:val="lowerLetter"/>
      <w:lvlText w:val="%2."/>
      <w:lvlJc w:val="left"/>
      <w:pPr>
        <w:ind w:left="1440" w:hanging="360"/>
      </w:pPr>
    </w:lvl>
    <w:lvl w:ilvl="2" w:tplc="59765D78">
      <w:start w:val="1"/>
      <w:numFmt w:val="lowerRoman"/>
      <w:lvlText w:val="%3."/>
      <w:lvlJc w:val="right"/>
      <w:pPr>
        <w:ind w:left="2160" w:hanging="180"/>
      </w:pPr>
    </w:lvl>
    <w:lvl w:ilvl="3" w:tplc="5546D02C">
      <w:start w:val="1"/>
      <w:numFmt w:val="decimal"/>
      <w:lvlText w:val="%4."/>
      <w:lvlJc w:val="left"/>
      <w:pPr>
        <w:ind w:left="2880" w:hanging="360"/>
      </w:pPr>
    </w:lvl>
    <w:lvl w:ilvl="4" w:tplc="C43A636C">
      <w:start w:val="1"/>
      <w:numFmt w:val="lowerLetter"/>
      <w:lvlText w:val="%5."/>
      <w:lvlJc w:val="left"/>
      <w:pPr>
        <w:ind w:left="3600" w:hanging="360"/>
      </w:pPr>
    </w:lvl>
    <w:lvl w:ilvl="5" w:tplc="C1F6791E">
      <w:start w:val="1"/>
      <w:numFmt w:val="lowerRoman"/>
      <w:lvlText w:val="%6."/>
      <w:lvlJc w:val="right"/>
      <w:pPr>
        <w:ind w:left="4320" w:hanging="180"/>
      </w:pPr>
    </w:lvl>
    <w:lvl w:ilvl="6" w:tplc="F54AAEEC">
      <w:start w:val="1"/>
      <w:numFmt w:val="decimal"/>
      <w:lvlText w:val="%7."/>
      <w:lvlJc w:val="left"/>
      <w:pPr>
        <w:ind w:left="5040" w:hanging="360"/>
      </w:pPr>
    </w:lvl>
    <w:lvl w:ilvl="7" w:tplc="3E14060E">
      <w:start w:val="1"/>
      <w:numFmt w:val="lowerLetter"/>
      <w:lvlText w:val="%8."/>
      <w:lvlJc w:val="left"/>
      <w:pPr>
        <w:ind w:left="5760" w:hanging="360"/>
      </w:pPr>
    </w:lvl>
    <w:lvl w:ilvl="8" w:tplc="BE44CD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00"/>
    <w:rsid w:val="000F0774"/>
    <w:rsid w:val="0014056D"/>
    <w:rsid w:val="00345D6B"/>
    <w:rsid w:val="003B5C54"/>
    <w:rsid w:val="00991100"/>
    <w:rsid w:val="00DC72DF"/>
    <w:rsid w:val="00F4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6212C"/>
  <w15:chartTrackingRefBased/>
  <w15:docId w15:val="{0B3E1D83-E2FD-CE49-9B16-1017FB3A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0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911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91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00"/>
  </w:style>
  <w:style w:type="paragraph" w:styleId="Footer">
    <w:name w:val="footer"/>
    <w:basedOn w:val="Normal"/>
    <w:link w:val="FooterChar"/>
    <w:uiPriority w:val="99"/>
    <w:unhideWhenUsed/>
    <w:rsid w:val="00991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d.ces.census.gov/data/pseo_explorer.html?type=earnings&amp;compare=postgrad&amp;specificity=2&amp;state=48&amp;institution=00353900&amp;degreelevel=03&amp;gradcohort=2006-5&amp;filter=50&amp;program=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acc.org/tsc/events/texas-pathways-institute-4-onboarding-reimagin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8a2wmgbdiox835y/AACZ5bjrgrUl-EekjfbqmfA5a?dl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Rodriguez</dc:creator>
  <cp:keywords/>
  <dc:description/>
  <cp:lastModifiedBy>Ellie Rodriguez</cp:lastModifiedBy>
  <cp:revision>3</cp:revision>
  <dcterms:created xsi:type="dcterms:W3CDTF">2021-10-27T18:16:00Z</dcterms:created>
  <dcterms:modified xsi:type="dcterms:W3CDTF">2021-10-28T22:14:00Z</dcterms:modified>
</cp:coreProperties>
</file>