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7F54" w14:textId="77777777" w:rsidR="002662ED" w:rsidRDefault="002662ED" w:rsidP="002662ED">
      <w:pPr>
        <w:pStyle w:val="paragraph"/>
        <w:spacing w:before="0" w:beforeAutospacing="0" w:after="0" w:afterAutospacing="0"/>
        <w:jc w:val="center"/>
        <w:textAlignment w:val="baseline"/>
        <w:rPr>
          <w:rStyle w:val="normaltextrun"/>
          <w:rFonts w:ascii="Zilla Slab" w:hAnsi="Zilla Slab"/>
          <w:b/>
          <w:bCs/>
          <w:color w:val="003C71"/>
          <w:sz w:val="28"/>
          <w:szCs w:val="28"/>
        </w:rPr>
      </w:pPr>
    </w:p>
    <w:p w14:paraId="5474B988" w14:textId="77777777" w:rsidR="002662ED" w:rsidRDefault="002662ED" w:rsidP="002662ED">
      <w:pPr>
        <w:pStyle w:val="paragraph"/>
        <w:spacing w:before="0" w:beforeAutospacing="0" w:after="0" w:afterAutospacing="0"/>
        <w:jc w:val="center"/>
        <w:textAlignment w:val="baseline"/>
        <w:rPr>
          <w:rStyle w:val="normaltextrun"/>
          <w:rFonts w:ascii="Zilla Slab" w:hAnsi="Zilla Slab"/>
          <w:b/>
          <w:bCs/>
          <w:color w:val="003C71"/>
          <w:sz w:val="28"/>
          <w:szCs w:val="28"/>
        </w:rPr>
      </w:pPr>
    </w:p>
    <w:p w14:paraId="691667B1" w14:textId="77777777" w:rsidR="002662ED" w:rsidRDefault="002662ED" w:rsidP="002662ED">
      <w:pPr>
        <w:pStyle w:val="paragraph"/>
        <w:spacing w:before="0" w:beforeAutospacing="0" w:after="0" w:afterAutospacing="0"/>
        <w:jc w:val="center"/>
        <w:textAlignment w:val="baseline"/>
        <w:rPr>
          <w:rStyle w:val="normaltextrun"/>
          <w:rFonts w:ascii="Zilla Slab" w:hAnsi="Zilla Slab"/>
          <w:b/>
          <w:bCs/>
          <w:color w:val="003C71"/>
          <w:sz w:val="28"/>
          <w:szCs w:val="28"/>
        </w:rPr>
      </w:pPr>
    </w:p>
    <w:p w14:paraId="160EEC50" w14:textId="1CFE768B" w:rsidR="002662ED" w:rsidRPr="00EB67DD" w:rsidRDefault="002662ED" w:rsidP="002662ED">
      <w:pPr>
        <w:pStyle w:val="paragraph"/>
        <w:spacing w:before="0" w:beforeAutospacing="0" w:after="0" w:afterAutospacing="0"/>
        <w:jc w:val="center"/>
        <w:textAlignment w:val="baseline"/>
        <w:rPr>
          <w:rFonts w:ascii="Zilla Slab" w:hAnsi="Zilla Slab" w:cs="Segoe UI"/>
          <w:color w:val="003C71"/>
          <w:sz w:val="20"/>
          <w:szCs w:val="20"/>
        </w:rPr>
      </w:pPr>
      <w:r w:rsidRPr="00EB67DD">
        <w:rPr>
          <w:rStyle w:val="normaltextrun"/>
          <w:rFonts w:ascii="Zilla Slab" w:hAnsi="Zilla Slab"/>
          <w:b/>
          <w:bCs/>
          <w:color w:val="003C71"/>
          <w:sz w:val="28"/>
          <w:szCs w:val="28"/>
        </w:rPr>
        <w:t>Team Strategy Time #1</w:t>
      </w:r>
      <w:r w:rsidRPr="00EB67DD">
        <w:rPr>
          <w:rStyle w:val="eop"/>
          <w:rFonts w:ascii="Zilla Slab" w:hAnsi="Zilla Slab"/>
          <w:color w:val="003C71"/>
          <w:sz w:val="28"/>
          <w:szCs w:val="28"/>
        </w:rPr>
        <w:t> </w:t>
      </w:r>
    </w:p>
    <w:p w14:paraId="558C64F8" w14:textId="77777777" w:rsidR="002662ED" w:rsidRPr="00EB67DD" w:rsidRDefault="002662ED" w:rsidP="002662ED">
      <w:pPr>
        <w:pStyle w:val="paragraph"/>
        <w:spacing w:before="0" w:beforeAutospacing="0" w:after="0" w:afterAutospacing="0"/>
        <w:jc w:val="center"/>
        <w:textAlignment w:val="baseline"/>
        <w:rPr>
          <w:rFonts w:ascii="Zilla Slab" w:hAnsi="Zilla Slab" w:cs="Segoe UI"/>
          <w:color w:val="003C71"/>
          <w:sz w:val="20"/>
          <w:szCs w:val="20"/>
        </w:rPr>
      </w:pPr>
      <w:r w:rsidRPr="00EB67DD">
        <w:rPr>
          <w:rStyle w:val="normaltextrun"/>
          <w:rFonts w:ascii="Zilla Slab" w:hAnsi="Zilla Slab"/>
          <w:b/>
          <w:bCs/>
          <w:color w:val="003C71"/>
          <w:sz w:val="28"/>
          <w:szCs w:val="28"/>
        </w:rPr>
        <w:t>Monitoring What Matters</w:t>
      </w:r>
      <w:r w:rsidRPr="00EB67DD">
        <w:rPr>
          <w:rStyle w:val="eop"/>
          <w:rFonts w:ascii="Zilla Slab" w:hAnsi="Zilla Slab"/>
          <w:color w:val="003C71"/>
          <w:sz w:val="28"/>
          <w:szCs w:val="28"/>
        </w:rPr>
        <w:t> </w:t>
      </w:r>
    </w:p>
    <w:p w14:paraId="060A68DF"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18"/>
          <w:szCs w:val="18"/>
        </w:rPr>
      </w:pPr>
      <w:r w:rsidRPr="00EB67DD">
        <w:rPr>
          <w:rStyle w:val="eop"/>
          <w:rFonts w:ascii="Encode Sans" w:hAnsi="Encode Sans" w:cs="Calibri"/>
          <w:color w:val="003C71"/>
        </w:rPr>
        <w:t> </w:t>
      </w:r>
    </w:p>
    <w:p w14:paraId="5865E044"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b/>
          <w:bCs/>
          <w:color w:val="003C71"/>
          <w:sz w:val="22"/>
          <w:szCs w:val="22"/>
        </w:rPr>
        <w:t>Description</w:t>
      </w:r>
      <w:r w:rsidRPr="00EB67DD">
        <w:rPr>
          <w:rStyle w:val="eop"/>
          <w:rFonts w:ascii="Encode Sans" w:hAnsi="Encode Sans"/>
          <w:color w:val="003C71"/>
          <w:sz w:val="22"/>
          <w:szCs w:val="22"/>
        </w:rPr>
        <w:t> </w:t>
      </w:r>
    </w:p>
    <w:p w14:paraId="575985D1"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color w:val="003C71"/>
          <w:sz w:val="22"/>
          <w:szCs w:val="22"/>
        </w:rPr>
        <w:t>The Texas Pathways Model calls for decisive and strategic board action to enable an integrated, system-wide approach to student success based on intentionally designed, clear, coherent and structured educational experiences, informed by available evidence, that guide each student effectively and efficiently from the selection of their high school degree program to her/his point of postsecondary entry through to attainment of high-quality credentials and careers with value in the labor market. </w:t>
      </w:r>
      <w:r w:rsidRPr="00EB67DD">
        <w:rPr>
          <w:rStyle w:val="eop"/>
          <w:rFonts w:ascii="Encode Sans" w:hAnsi="Encode Sans"/>
          <w:color w:val="003C71"/>
          <w:sz w:val="22"/>
          <w:szCs w:val="22"/>
        </w:rPr>
        <w:t> </w:t>
      </w:r>
    </w:p>
    <w:p w14:paraId="206F7918"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eop"/>
          <w:rFonts w:ascii="Encode Sans" w:hAnsi="Encode Sans"/>
          <w:color w:val="003C71"/>
          <w:sz w:val="22"/>
          <w:szCs w:val="22"/>
        </w:rPr>
        <w:t> </w:t>
      </w:r>
    </w:p>
    <w:p w14:paraId="6F856336"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color w:val="003C71"/>
          <w:sz w:val="22"/>
          <w:szCs w:val="22"/>
        </w:rPr>
        <w:t>During this first team strategy time, delegates and resident faculty convene to review data and begin making the case for the actions that the board will take enabling their CEO and the board to set the climate and expectation for institutional change leading toward a more comprehensive student success strategy. Using the Texas Higher Education Coordinating Board’s Higher Education </w:t>
      </w:r>
      <w:hyperlink r:id="rId6" w:tgtFrame="_blank" w:history="1">
        <w:r w:rsidRPr="00EB67DD">
          <w:rPr>
            <w:rStyle w:val="normaltextrun"/>
            <w:rFonts w:ascii="Encode Sans" w:hAnsi="Encode Sans"/>
            <w:color w:val="003C71"/>
            <w:sz w:val="22"/>
            <w:szCs w:val="22"/>
            <w:u w:val="single"/>
          </w:rPr>
          <w:t>Almanac</w:t>
        </w:r>
      </w:hyperlink>
      <w:r w:rsidRPr="00EB67DD">
        <w:rPr>
          <w:rStyle w:val="normaltextrun"/>
          <w:rFonts w:ascii="Encode Sans" w:hAnsi="Encode Sans"/>
          <w:color w:val="003C71"/>
          <w:sz w:val="22"/>
          <w:szCs w:val="22"/>
        </w:rPr>
        <w:t> delegates will reflect on equitable students’ success in completion and consider the detrimental impact of potentially fragmented, isolated, or smaller scale approaches to improving student success. </w:t>
      </w:r>
      <w:r w:rsidRPr="00EB67DD">
        <w:rPr>
          <w:rStyle w:val="eop"/>
          <w:rFonts w:ascii="Encode Sans" w:hAnsi="Encode Sans"/>
          <w:color w:val="003C71"/>
          <w:sz w:val="22"/>
          <w:szCs w:val="22"/>
        </w:rPr>
        <w:t> </w:t>
      </w:r>
    </w:p>
    <w:p w14:paraId="6B3BF21F"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eop"/>
          <w:rFonts w:ascii="Encode Sans" w:hAnsi="Encode Sans" w:cs="Calibri"/>
          <w:color w:val="003C71"/>
          <w:sz w:val="22"/>
          <w:szCs w:val="22"/>
        </w:rPr>
        <w:t> </w:t>
      </w:r>
    </w:p>
    <w:p w14:paraId="75C4717D"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b/>
          <w:bCs/>
          <w:color w:val="003C71"/>
          <w:sz w:val="22"/>
          <w:szCs w:val="22"/>
        </w:rPr>
        <w:t>Instructions </w:t>
      </w:r>
      <w:r w:rsidRPr="00EB67DD">
        <w:rPr>
          <w:rStyle w:val="eop"/>
          <w:rFonts w:ascii="Encode Sans" w:hAnsi="Encode Sans"/>
          <w:color w:val="003C71"/>
          <w:sz w:val="22"/>
          <w:szCs w:val="22"/>
        </w:rPr>
        <w:t> </w:t>
      </w:r>
    </w:p>
    <w:p w14:paraId="0C42CDB6"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eop"/>
          <w:rFonts w:ascii="Encode Sans" w:hAnsi="Encode Sans"/>
          <w:color w:val="003C71"/>
          <w:sz w:val="22"/>
          <w:szCs w:val="22"/>
        </w:rPr>
        <w:t> </w:t>
      </w:r>
    </w:p>
    <w:p w14:paraId="79DA77FC"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color w:val="003C71"/>
          <w:sz w:val="22"/>
          <w:szCs w:val="22"/>
        </w:rPr>
        <w:t>Review your college’s data on degrees and certificate completion disaggregated by race and ethnicity on pages 22-23 of the </w:t>
      </w:r>
      <w:hyperlink r:id="rId7" w:tgtFrame="_blank" w:history="1">
        <w:r w:rsidRPr="00EB67DD">
          <w:rPr>
            <w:rStyle w:val="normaltextrun"/>
            <w:rFonts w:ascii="Encode Sans" w:hAnsi="Encode Sans"/>
            <w:color w:val="003C71"/>
            <w:sz w:val="22"/>
            <w:szCs w:val="22"/>
            <w:u w:val="single"/>
          </w:rPr>
          <w:t>THECB Almanac</w:t>
        </w:r>
      </w:hyperlink>
      <w:r w:rsidRPr="00EB67DD">
        <w:rPr>
          <w:rStyle w:val="normaltextrun"/>
          <w:rFonts w:ascii="Encode Sans" w:hAnsi="Encode Sans"/>
          <w:color w:val="003C71"/>
          <w:sz w:val="22"/>
          <w:szCs w:val="22"/>
        </w:rPr>
        <w:t>.</w:t>
      </w:r>
      <w:r w:rsidRPr="00EB67DD">
        <w:rPr>
          <w:rStyle w:val="eop"/>
          <w:rFonts w:ascii="Encode Sans" w:hAnsi="Encode Sans"/>
          <w:color w:val="003C71"/>
          <w:sz w:val="22"/>
          <w:szCs w:val="22"/>
        </w:rPr>
        <w:t> </w:t>
      </w:r>
    </w:p>
    <w:p w14:paraId="4D39F994"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eop"/>
          <w:rFonts w:ascii="Encode Sans" w:hAnsi="Encode Sans"/>
          <w:color w:val="003C71"/>
          <w:sz w:val="22"/>
          <w:szCs w:val="22"/>
        </w:rPr>
        <w:t> </w:t>
      </w:r>
    </w:p>
    <w:p w14:paraId="4428867F"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color w:val="003C71"/>
          <w:sz w:val="22"/>
          <w:szCs w:val="22"/>
        </w:rPr>
        <w:t>Based on what you heard from Dr. </w:t>
      </w:r>
      <w:proofErr w:type="spellStart"/>
      <w:r w:rsidRPr="00EB67DD">
        <w:rPr>
          <w:rStyle w:val="normaltextrun"/>
          <w:rFonts w:ascii="Encode Sans" w:hAnsi="Encode Sans"/>
          <w:color w:val="003C71"/>
          <w:sz w:val="22"/>
          <w:szCs w:val="22"/>
        </w:rPr>
        <w:t>McClenney</w:t>
      </w:r>
      <w:proofErr w:type="spellEnd"/>
      <w:r w:rsidRPr="00EB67DD">
        <w:rPr>
          <w:rStyle w:val="normaltextrun"/>
          <w:rFonts w:ascii="Encode Sans" w:hAnsi="Encode Sans"/>
          <w:color w:val="003C71"/>
          <w:sz w:val="22"/>
          <w:szCs w:val="22"/>
        </w:rPr>
        <w:t> yesterday afternoon, Dr. </w:t>
      </w:r>
      <w:proofErr w:type="spellStart"/>
      <w:r w:rsidRPr="00EB67DD">
        <w:rPr>
          <w:rStyle w:val="normaltextrun"/>
          <w:rFonts w:ascii="Encode Sans" w:hAnsi="Encode Sans"/>
          <w:color w:val="003C71"/>
          <w:sz w:val="22"/>
          <w:szCs w:val="22"/>
        </w:rPr>
        <w:t>Ponjuan</w:t>
      </w:r>
      <w:proofErr w:type="spellEnd"/>
      <w:r w:rsidRPr="00EB67DD">
        <w:rPr>
          <w:rStyle w:val="normaltextrun"/>
          <w:rFonts w:ascii="Encode Sans" w:hAnsi="Encode Sans"/>
          <w:color w:val="003C71"/>
          <w:sz w:val="22"/>
          <w:szCs w:val="22"/>
        </w:rPr>
        <w:t> this morning and your college data in the Almanac, reflect on the following questions.</w:t>
      </w:r>
      <w:r w:rsidRPr="00EB67DD">
        <w:rPr>
          <w:rStyle w:val="eop"/>
          <w:rFonts w:ascii="Encode Sans" w:hAnsi="Encode Sans"/>
          <w:color w:val="003C71"/>
          <w:sz w:val="22"/>
          <w:szCs w:val="22"/>
        </w:rPr>
        <w:t> </w:t>
      </w:r>
    </w:p>
    <w:p w14:paraId="61BC86E8"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eop"/>
          <w:rFonts w:ascii="Encode Sans" w:hAnsi="Encode Sans"/>
          <w:color w:val="003C71"/>
          <w:sz w:val="22"/>
          <w:szCs w:val="22"/>
        </w:rPr>
        <w:t> </w:t>
      </w:r>
    </w:p>
    <w:p w14:paraId="18906B25"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b/>
          <w:bCs/>
          <w:color w:val="003C71"/>
          <w:sz w:val="22"/>
          <w:szCs w:val="22"/>
        </w:rPr>
        <w:t>Guiding Questions </w:t>
      </w:r>
      <w:r w:rsidRPr="00EB67DD">
        <w:rPr>
          <w:rStyle w:val="eop"/>
          <w:rFonts w:ascii="Encode Sans" w:hAnsi="Encode Sans"/>
          <w:color w:val="003C71"/>
          <w:sz w:val="22"/>
          <w:szCs w:val="22"/>
        </w:rPr>
        <w:t> </w:t>
      </w:r>
    </w:p>
    <w:p w14:paraId="776B1D64"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color w:val="003C71"/>
          <w:sz w:val="22"/>
          <w:szCs w:val="22"/>
        </w:rPr>
        <w:t>What do the data reveal about graduation at your institution?  Do you see any inequities based on race and ethnicity?</w:t>
      </w:r>
      <w:r w:rsidRPr="00EB67DD">
        <w:rPr>
          <w:rStyle w:val="eop"/>
          <w:rFonts w:ascii="Encode Sans" w:hAnsi="Encode Sans"/>
          <w:color w:val="003C71"/>
          <w:sz w:val="22"/>
          <w:szCs w:val="22"/>
        </w:rPr>
        <w:t> </w:t>
      </w:r>
    </w:p>
    <w:p w14:paraId="635372F2"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eop"/>
          <w:rFonts w:ascii="Encode Sans" w:hAnsi="Encode Sans"/>
          <w:color w:val="003C71"/>
          <w:sz w:val="22"/>
          <w:szCs w:val="22"/>
        </w:rPr>
        <w:t> </w:t>
      </w:r>
    </w:p>
    <w:p w14:paraId="136DA43B"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color w:val="003C71"/>
          <w:sz w:val="22"/>
          <w:szCs w:val="22"/>
        </w:rPr>
        <w:t>What is the Board’s role in promoting equitable access and success for students?</w:t>
      </w:r>
      <w:r w:rsidRPr="00EB67DD">
        <w:rPr>
          <w:rStyle w:val="eop"/>
          <w:rFonts w:ascii="Encode Sans" w:hAnsi="Encode Sans"/>
          <w:color w:val="003C71"/>
          <w:sz w:val="22"/>
          <w:szCs w:val="22"/>
        </w:rPr>
        <w:t> </w:t>
      </w:r>
    </w:p>
    <w:p w14:paraId="704217A3"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eop"/>
          <w:rFonts w:ascii="Encode Sans" w:hAnsi="Encode Sans"/>
          <w:color w:val="003C71"/>
          <w:sz w:val="22"/>
          <w:szCs w:val="22"/>
        </w:rPr>
        <w:t> </w:t>
      </w:r>
    </w:p>
    <w:p w14:paraId="3291CEDD"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color w:val="003C71"/>
          <w:sz w:val="22"/>
          <w:szCs w:val="22"/>
        </w:rPr>
        <w:t>How often do we as a board want to review and discuss disaggregated student metrics at the institutional and program levels?</w:t>
      </w:r>
      <w:r w:rsidRPr="00EB67DD">
        <w:rPr>
          <w:rStyle w:val="eop"/>
          <w:rFonts w:ascii="Encode Sans" w:hAnsi="Encode Sans"/>
          <w:color w:val="003C71"/>
          <w:sz w:val="22"/>
          <w:szCs w:val="22"/>
        </w:rPr>
        <w:t> </w:t>
      </w:r>
    </w:p>
    <w:p w14:paraId="1EB9B780"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eop"/>
          <w:rFonts w:ascii="Encode Sans" w:hAnsi="Encode Sans"/>
          <w:color w:val="003C71"/>
          <w:sz w:val="22"/>
          <w:szCs w:val="22"/>
        </w:rPr>
        <w:t> </w:t>
      </w:r>
    </w:p>
    <w:p w14:paraId="55C15A5A"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22"/>
          <w:szCs w:val="22"/>
        </w:rPr>
      </w:pPr>
      <w:r w:rsidRPr="00EB67DD">
        <w:rPr>
          <w:rStyle w:val="normaltextrun"/>
          <w:rFonts w:ascii="Encode Sans" w:hAnsi="Encode Sans"/>
          <w:color w:val="003C71"/>
          <w:sz w:val="22"/>
          <w:szCs w:val="22"/>
        </w:rPr>
        <w:t>Do we have equity as a center point of our strategic plan?</w:t>
      </w:r>
      <w:r w:rsidRPr="00EB67DD">
        <w:rPr>
          <w:rStyle w:val="eop"/>
          <w:rFonts w:ascii="Encode Sans" w:hAnsi="Encode Sans"/>
          <w:color w:val="003C71"/>
          <w:sz w:val="22"/>
          <w:szCs w:val="22"/>
        </w:rPr>
        <w:t> </w:t>
      </w:r>
    </w:p>
    <w:p w14:paraId="75B41904" w14:textId="77777777" w:rsidR="002662ED" w:rsidRPr="00EB67DD" w:rsidRDefault="002662ED" w:rsidP="002662ED">
      <w:pPr>
        <w:pStyle w:val="paragraph"/>
        <w:spacing w:before="0" w:beforeAutospacing="0" w:after="0" w:afterAutospacing="0"/>
        <w:textAlignment w:val="baseline"/>
        <w:rPr>
          <w:rFonts w:ascii="Encode Sans" w:hAnsi="Encode Sans" w:cs="Segoe UI"/>
          <w:color w:val="003C71"/>
          <w:sz w:val="18"/>
          <w:szCs w:val="18"/>
        </w:rPr>
      </w:pPr>
      <w:r w:rsidRPr="00EB67DD">
        <w:rPr>
          <w:rStyle w:val="eop"/>
          <w:rFonts w:ascii="Encode Sans" w:hAnsi="Encode Sans" w:cs="Calibri"/>
          <w:color w:val="003C71"/>
        </w:rPr>
        <w:t> </w:t>
      </w:r>
    </w:p>
    <w:p w14:paraId="1930A4FE" w14:textId="77777777" w:rsidR="002662ED" w:rsidRPr="00EB67DD" w:rsidRDefault="002662ED" w:rsidP="002662ED">
      <w:pPr>
        <w:pStyle w:val="paragraph"/>
        <w:spacing w:before="0" w:beforeAutospacing="0" w:after="0" w:afterAutospacing="0"/>
        <w:textAlignment w:val="baseline"/>
        <w:rPr>
          <w:rFonts w:ascii="Encode Sans" w:hAnsi="Encode Sans" w:cs="Segoe UI"/>
          <w:sz w:val="18"/>
          <w:szCs w:val="18"/>
        </w:rPr>
      </w:pPr>
      <w:r w:rsidRPr="00EB67DD">
        <w:rPr>
          <w:rStyle w:val="eop"/>
          <w:rFonts w:ascii="Encode Sans" w:hAnsi="Encode Sans"/>
        </w:rPr>
        <w:t> </w:t>
      </w:r>
    </w:p>
    <w:p w14:paraId="7A366588" w14:textId="77777777" w:rsidR="002662ED" w:rsidRPr="00EB67DD" w:rsidRDefault="002662ED" w:rsidP="002662ED">
      <w:pPr>
        <w:pStyle w:val="paragraph"/>
        <w:spacing w:before="0" w:beforeAutospacing="0" w:after="0" w:afterAutospacing="0"/>
        <w:textAlignment w:val="baseline"/>
        <w:rPr>
          <w:rFonts w:ascii="Encode Sans" w:hAnsi="Encode Sans" w:cs="Segoe UI"/>
          <w:sz w:val="18"/>
          <w:szCs w:val="18"/>
        </w:rPr>
      </w:pPr>
      <w:r w:rsidRPr="00EB67DD">
        <w:rPr>
          <w:rStyle w:val="eop"/>
          <w:rFonts w:ascii="Encode Sans" w:hAnsi="Encode Sans"/>
        </w:rPr>
        <w:t> </w:t>
      </w:r>
    </w:p>
    <w:p w14:paraId="72F7F41D" w14:textId="77777777" w:rsidR="0062648C" w:rsidRDefault="0062648C"/>
    <w:sectPr w:rsidR="0062648C" w:rsidSect="00DC72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F9EF" w14:textId="77777777" w:rsidR="00D44DB5" w:rsidRDefault="00D44DB5" w:rsidP="002662ED">
      <w:r>
        <w:separator/>
      </w:r>
    </w:p>
  </w:endnote>
  <w:endnote w:type="continuationSeparator" w:id="0">
    <w:p w14:paraId="3B27B8CB" w14:textId="77777777" w:rsidR="00D44DB5" w:rsidRDefault="00D44DB5" w:rsidP="0026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Zilla Slab">
    <w:panose1 w:val="00000000000000000000"/>
    <w:charset w:val="4D"/>
    <w:family w:val="auto"/>
    <w:pitch w:val="variable"/>
    <w:sig w:usb0="A00000FF" w:usb1="5001E47B" w:usb2="00000000" w:usb3="00000000" w:csb0="0000009B" w:csb1="00000000"/>
  </w:font>
  <w:font w:name="Segoe UI">
    <w:panose1 w:val="020B0604020202020204"/>
    <w:charset w:val="00"/>
    <w:family w:val="swiss"/>
    <w:pitch w:val="variable"/>
    <w:sig w:usb0="E4002EFF" w:usb1="C000E47F" w:usb2="00000009" w:usb3="00000000" w:csb0="000001FF" w:csb1="00000000"/>
  </w:font>
  <w:font w:name="Encode Sans">
    <w:altName w:val="Calibri"/>
    <w:panose1 w:val="00000500000000000000"/>
    <w:charset w:val="4D"/>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37D9" w14:textId="281BC892" w:rsidR="002662ED" w:rsidRDefault="002662ED">
    <w:pPr>
      <w:pStyle w:val="Footer"/>
    </w:pPr>
    <w:r>
      <w:rPr>
        <w:noProof/>
      </w:rPr>
      <mc:AlternateContent>
        <mc:Choice Requires="wps">
          <w:drawing>
            <wp:anchor distT="0" distB="0" distL="114300" distR="114300" simplePos="0" relativeHeight="251662336" behindDoc="0" locked="0" layoutInCell="1" allowOverlap="1" wp14:anchorId="4CEA5A90" wp14:editId="46E238E6">
              <wp:simplePos x="0" y="0"/>
              <wp:positionH relativeFrom="column">
                <wp:posOffset>-973455</wp:posOffset>
              </wp:positionH>
              <wp:positionV relativeFrom="paragraph">
                <wp:posOffset>336360</wp:posOffset>
              </wp:positionV>
              <wp:extent cx="7880782" cy="301658"/>
              <wp:effectExtent l="0" t="0" r="6350" b="3175"/>
              <wp:wrapNone/>
              <wp:docPr id="2" name="Rectangle 2"/>
              <wp:cNvGraphicFramePr/>
              <a:graphic xmlns:a="http://schemas.openxmlformats.org/drawingml/2006/main">
                <a:graphicData uri="http://schemas.microsoft.com/office/word/2010/wordprocessingShape">
                  <wps:wsp>
                    <wps:cNvSpPr/>
                    <wps:spPr>
                      <a:xfrm>
                        <a:off x="0" y="0"/>
                        <a:ext cx="7880782" cy="301658"/>
                      </a:xfrm>
                      <a:prstGeom prst="rect">
                        <a:avLst/>
                      </a:prstGeom>
                      <a:solidFill>
                        <a:srgbClr val="8B4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0A6AE" id="Rectangle 2" o:spid="_x0000_s1026" style="position:absolute;margin-left:-76.65pt;margin-top:26.5pt;width:620.5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" fillcolor="#8b472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3BA3" w14:textId="77777777" w:rsidR="00D44DB5" w:rsidRDefault="00D44DB5" w:rsidP="002662ED">
      <w:r>
        <w:separator/>
      </w:r>
    </w:p>
  </w:footnote>
  <w:footnote w:type="continuationSeparator" w:id="0">
    <w:p w14:paraId="4B6F4A1B" w14:textId="77777777" w:rsidR="00D44DB5" w:rsidRDefault="00D44DB5" w:rsidP="0026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6257" w14:textId="62732D51" w:rsidR="002662ED" w:rsidRDefault="002662ED">
    <w:pPr>
      <w:pStyle w:val="Header"/>
    </w:pPr>
    <w:r w:rsidRPr="002662ED">
      <w:drawing>
        <wp:anchor distT="0" distB="0" distL="114300" distR="114300" simplePos="0" relativeHeight="251660288" behindDoc="1" locked="0" layoutInCell="1" allowOverlap="1" wp14:anchorId="2F7807AF" wp14:editId="68089444">
          <wp:simplePos x="0" y="0"/>
          <wp:positionH relativeFrom="margin">
            <wp:posOffset>1800225</wp:posOffset>
          </wp:positionH>
          <wp:positionV relativeFrom="paragraph">
            <wp:posOffset>0</wp:posOffset>
          </wp:positionV>
          <wp:extent cx="2592705" cy="866775"/>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6927" t="26300" r="12367" b="19717"/>
                  <a:stretch/>
                </pic:blipFill>
                <pic:spPr bwMode="auto">
                  <a:xfrm>
                    <a:off x="0" y="0"/>
                    <a:ext cx="259270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62ED">
      <mc:AlternateContent>
        <mc:Choice Requires="wps">
          <w:drawing>
            <wp:anchor distT="0" distB="0" distL="114300" distR="114300" simplePos="0" relativeHeight="251659264" behindDoc="0" locked="0" layoutInCell="1" allowOverlap="1" wp14:anchorId="1E661862" wp14:editId="6D649DEA">
              <wp:simplePos x="0" y="0"/>
              <wp:positionH relativeFrom="column">
                <wp:posOffset>-902525</wp:posOffset>
              </wp:positionH>
              <wp:positionV relativeFrom="paragraph">
                <wp:posOffset>-451263</wp:posOffset>
              </wp:positionV>
              <wp:extent cx="7880782" cy="301658"/>
              <wp:effectExtent l="0" t="0" r="6350" b="3175"/>
              <wp:wrapNone/>
              <wp:docPr id="1" name="Rectangle 1"/>
              <wp:cNvGraphicFramePr/>
              <a:graphic xmlns:a="http://schemas.openxmlformats.org/drawingml/2006/main">
                <a:graphicData uri="http://schemas.microsoft.com/office/word/2010/wordprocessingShape">
                  <wps:wsp>
                    <wps:cNvSpPr/>
                    <wps:spPr>
                      <a:xfrm>
                        <a:off x="0" y="0"/>
                        <a:ext cx="7880782" cy="301658"/>
                      </a:xfrm>
                      <a:prstGeom prst="rect">
                        <a:avLst/>
                      </a:prstGeom>
                      <a:solidFill>
                        <a:srgbClr val="8B4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04C4F" id="Rectangle 1" o:spid="_x0000_s1026" style="position:absolute;margin-left:-71.05pt;margin-top:-35.55pt;width:620.5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" fillcolor="#8b4720"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ED"/>
    <w:rsid w:val="002662ED"/>
    <w:rsid w:val="0062648C"/>
    <w:rsid w:val="00D44DB5"/>
    <w:rsid w:val="00D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05D69"/>
  <w15:chartTrackingRefBased/>
  <w15:docId w15:val="{117B123F-04A8-D442-A0A7-C7402428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62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662ED"/>
  </w:style>
  <w:style w:type="character" w:customStyle="1" w:styleId="eop">
    <w:name w:val="eop"/>
    <w:basedOn w:val="DefaultParagraphFont"/>
    <w:rsid w:val="002662ED"/>
  </w:style>
  <w:style w:type="paragraph" w:styleId="Header">
    <w:name w:val="header"/>
    <w:basedOn w:val="Normal"/>
    <w:link w:val="HeaderChar"/>
    <w:uiPriority w:val="99"/>
    <w:unhideWhenUsed/>
    <w:rsid w:val="002662ED"/>
    <w:pPr>
      <w:tabs>
        <w:tab w:val="center" w:pos="4680"/>
        <w:tab w:val="right" w:pos="9360"/>
      </w:tabs>
    </w:pPr>
  </w:style>
  <w:style w:type="character" w:customStyle="1" w:styleId="HeaderChar">
    <w:name w:val="Header Char"/>
    <w:basedOn w:val="DefaultParagraphFont"/>
    <w:link w:val="Header"/>
    <w:uiPriority w:val="99"/>
    <w:rsid w:val="002662ED"/>
  </w:style>
  <w:style w:type="paragraph" w:styleId="Footer">
    <w:name w:val="footer"/>
    <w:basedOn w:val="Normal"/>
    <w:link w:val="FooterChar"/>
    <w:uiPriority w:val="99"/>
    <w:unhideWhenUsed/>
    <w:rsid w:val="002662ED"/>
    <w:pPr>
      <w:tabs>
        <w:tab w:val="center" w:pos="4680"/>
        <w:tab w:val="right" w:pos="9360"/>
      </w:tabs>
    </w:pPr>
  </w:style>
  <w:style w:type="character" w:customStyle="1" w:styleId="FooterChar">
    <w:name w:val="Footer Char"/>
    <w:basedOn w:val="DefaultParagraphFont"/>
    <w:link w:val="Footer"/>
    <w:uiPriority w:val="99"/>
    <w:rsid w:val="0026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portcenter.highered.texas.gov/agency-publication/almanac/2020-texas-public-higher-education-alman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center.highered.texas.gov/agency-publication/almanac/2020-texas-public-higher-education-almana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1</cp:revision>
  <dcterms:created xsi:type="dcterms:W3CDTF">2021-09-03T18:11:00Z</dcterms:created>
  <dcterms:modified xsi:type="dcterms:W3CDTF">2021-09-03T18:12:00Z</dcterms:modified>
</cp:coreProperties>
</file>